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3D29" w14:textId="77777777" w:rsidR="00F563F9" w:rsidRDefault="00000000" w:rsidP="00DA2BB5">
      <w:pPr>
        <w:spacing w:after="200" w:line="240" w:lineRule="auto"/>
        <w:rPr>
          <w:color w:val="FF0000"/>
        </w:rPr>
      </w:pPr>
      <w:r>
        <w:rPr>
          <w:rFonts w:ascii="Open Sans" w:eastAsia="Open Sans" w:hAnsi="Open Sans" w:cs="Open Sans"/>
          <w:color w:val="FF0000"/>
        </w:rPr>
        <w:t xml:space="preserve">SAMPLE — PLEASE UPDATE </w:t>
      </w:r>
      <w:r>
        <w:rPr>
          <w:rFonts w:ascii="Open Sans" w:eastAsia="Open Sans" w:hAnsi="Open Sans" w:cs="Open Sans"/>
          <w:color w:val="FF0000"/>
          <w:u w:val="single"/>
        </w:rPr>
        <w:t>ACCORDING TO YOUR APPLICABLE TRUST SERVICES CRITERIA</w:t>
      </w:r>
      <w:r>
        <w:rPr>
          <w:rFonts w:ascii="Open Sans" w:eastAsia="Open Sans" w:hAnsi="Open Sans" w:cs="Open Sans"/>
          <w:color w:val="FF0000"/>
        </w:rPr>
        <w:t>, COMPANY DETAILS, AND CONTACT INFORMATION</w:t>
      </w:r>
    </w:p>
    <w:p w14:paraId="541A3705" w14:textId="77777777" w:rsidR="00F563F9" w:rsidRDefault="00F563F9" w:rsidP="00DA2BB5">
      <w:pPr>
        <w:spacing w:line="240" w:lineRule="auto"/>
        <w:rPr>
          <w:rFonts w:ascii="Open Sans" w:eastAsia="Open Sans" w:hAnsi="Open Sans" w:cs="Open Sans"/>
          <w:sz w:val="20"/>
          <w:szCs w:val="20"/>
        </w:rPr>
      </w:pPr>
    </w:p>
    <w:p w14:paraId="0CBD8E97" w14:textId="77777777" w:rsidR="00F563F9" w:rsidRDefault="00000000" w:rsidP="00DA2BB5">
      <w:pPr>
        <w:pStyle w:val="Heading1"/>
        <w:spacing w:line="240" w:lineRule="auto"/>
      </w:pPr>
      <w:bookmarkStart w:id="0" w:name="_bzsl468wfx92" w:colFirst="0" w:colLast="0"/>
      <w:bookmarkEnd w:id="0"/>
      <w:r>
        <w:t>[Company Name] Has Announced Our Latest SOC 2 and SOC 3 Reports. Here’s What That Means For You.</w:t>
      </w:r>
    </w:p>
    <w:p w14:paraId="5F13ED2D" w14:textId="77777777" w:rsidR="00F563F9" w:rsidRDefault="00F563F9" w:rsidP="00DA2BB5">
      <w:pPr>
        <w:spacing w:line="240" w:lineRule="auto"/>
        <w:rPr>
          <w:rFonts w:ascii="Open Sans" w:eastAsia="Open Sans" w:hAnsi="Open Sans" w:cs="Open Sans"/>
          <w:color w:val="FF00FF"/>
          <w:sz w:val="20"/>
          <w:szCs w:val="20"/>
          <w:highlight w:val="green"/>
        </w:rPr>
      </w:pPr>
    </w:p>
    <w:p w14:paraId="1A7ECBA4"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[COMPANY NAME] recently received our latest SOC 2 and SOC 3 reports. But what do these reports mean for us as an organization—and for you as our customer?</w:t>
      </w:r>
    </w:p>
    <w:p w14:paraId="0D570276" w14:textId="77777777" w:rsidR="00F563F9" w:rsidRDefault="00F563F9" w:rsidP="00DA2BB5">
      <w:pPr>
        <w:spacing w:line="240" w:lineRule="auto"/>
        <w:rPr>
          <w:rFonts w:ascii="Open Sans" w:eastAsia="Open Sans" w:hAnsi="Open Sans" w:cs="Open Sans"/>
          <w:sz w:val="20"/>
          <w:szCs w:val="20"/>
        </w:rPr>
      </w:pPr>
    </w:p>
    <w:p w14:paraId="5E061EF7"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At [COMPANY NAME], keeping customer and stakeholder data secure is our top priority. To ensure that our systems and controls have been designed appropriately to achieve that goal, we sought out third-party attestation from a qualified auditing firm. Our SOC 2 and SOC 3 reports are the result of their examination.</w:t>
      </w:r>
    </w:p>
    <w:p w14:paraId="2BDEC91E" w14:textId="77777777" w:rsidR="00F563F9" w:rsidRDefault="00F563F9" w:rsidP="00DA2BB5">
      <w:pPr>
        <w:spacing w:line="240" w:lineRule="auto"/>
        <w:rPr>
          <w:rFonts w:ascii="Open Sans" w:eastAsia="Open Sans" w:hAnsi="Open Sans" w:cs="Open Sans"/>
          <w:sz w:val="20"/>
          <w:szCs w:val="20"/>
        </w:rPr>
      </w:pPr>
    </w:p>
    <w:p w14:paraId="1CD64025"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In this blog post, we’ll explain what these reports are, what they cover, and why we chose to undergo this rigorous compliance audit.</w:t>
      </w:r>
    </w:p>
    <w:p w14:paraId="6267806A" w14:textId="77777777" w:rsidR="00F563F9" w:rsidRDefault="00F563F9" w:rsidP="00DA2BB5">
      <w:pPr>
        <w:spacing w:line="240" w:lineRule="auto"/>
        <w:rPr>
          <w:rFonts w:ascii="Open Sans" w:eastAsia="Open Sans" w:hAnsi="Open Sans" w:cs="Open Sans"/>
          <w:sz w:val="20"/>
          <w:szCs w:val="20"/>
        </w:rPr>
      </w:pPr>
    </w:p>
    <w:p w14:paraId="37B64C75" w14:textId="77777777" w:rsidR="00F563F9" w:rsidRDefault="00000000" w:rsidP="00DA2BB5">
      <w:pPr>
        <w:pStyle w:val="Heading2"/>
        <w:spacing w:line="240" w:lineRule="auto"/>
      </w:pPr>
      <w:bookmarkStart w:id="1" w:name="_ha5hrep0xuzn" w:colFirst="0" w:colLast="0"/>
      <w:bookmarkEnd w:id="1"/>
      <w:r>
        <w:t>WHAT IS A SOC 2 REPORT?</w:t>
      </w:r>
    </w:p>
    <w:p w14:paraId="679FF832" w14:textId="77777777" w:rsidR="00F563F9" w:rsidRDefault="00F563F9" w:rsidP="00DA2BB5">
      <w:pPr>
        <w:spacing w:line="240" w:lineRule="auto"/>
        <w:rPr>
          <w:rFonts w:ascii="Open Sans" w:eastAsia="Open Sans" w:hAnsi="Open Sans" w:cs="Open Sans"/>
          <w:sz w:val="20"/>
          <w:szCs w:val="20"/>
        </w:rPr>
      </w:pPr>
    </w:p>
    <w:p w14:paraId="7F01923E" w14:textId="77777777" w:rsidR="00F563F9" w:rsidRDefault="00000000" w:rsidP="00DA2BB5">
      <w:pPr>
        <w:spacing w:line="240" w:lineRule="auto"/>
        <w:rPr>
          <w:rFonts w:ascii="Open Sans" w:eastAsia="Open Sans" w:hAnsi="Open Sans" w:cs="Open Sans"/>
          <w:color w:val="FF00FF"/>
          <w:sz w:val="20"/>
          <w:szCs w:val="20"/>
        </w:rPr>
      </w:pPr>
      <w:r>
        <w:rPr>
          <w:rFonts w:ascii="Open Sans" w:eastAsia="Open Sans" w:hAnsi="Open Sans" w:cs="Open Sans"/>
          <w:sz w:val="20"/>
          <w:szCs w:val="20"/>
        </w:rPr>
        <w:t xml:space="preserve">Obtaining a System and Organization Controls (SOC) 2 report is one way for a service organization to attest to the security of its digital environment. </w:t>
      </w:r>
    </w:p>
    <w:p w14:paraId="7A544CEE" w14:textId="77777777" w:rsidR="00F563F9" w:rsidRDefault="00F563F9" w:rsidP="00DA2BB5">
      <w:pPr>
        <w:spacing w:line="240" w:lineRule="auto"/>
        <w:rPr>
          <w:rFonts w:ascii="Open Sans" w:eastAsia="Open Sans" w:hAnsi="Open Sans" w:cs="Open Sans"/>
          <w:color w:val="FF00FF"/>
          <w:sz w:val="20"/>
          <w:szCs w:val="20"/>
        </w:rPr>
      </w:pPr>
    </w:p>
    <w:p w14:paraId="0F1842C5"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Completing a SOC 2 examination through an accredited third-party auditor does not result in any certification. Instead, the resulting CPA’s report functions as a tool to help an organization communicate whether the internal controls they’ve put in place governing the security of customers’, partners’, and stakeholders’ data are properly designed, implemented, and maintained.</w:t>
      </w:r>
    </w:p>
    <w:p w14:paraId="30C6403B" w14:textId="77777777" w:rsidR="00F563F9" w:rsidRDefault="00F563F9" w:rsidP="00DA2BB5">
      <w:pPr>
        <w:spacing w:line="240" w:lineRule="auto"/>
        <w:rPr>
          <w:rFonts w:ascii="Open Sans" w:eastAsia="Open Sans" w:hAnsi="Open Sans" w:cs="Open Sans"/>
          <w:sz w:val="20"/>
          <w:szCs w:val="20"/>
        </w:rPr>
      </w:pPr>
    </w:p>
    <w:p w14:paraId="409AE7E8"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In simpler terms, a SOC 2 report provides an avenue for current and potential stakeholders to assess risk by giving them a closer look at the policies and procedures put in place to ensure the organization’s services are provided safely and reliably.</w:t>
      </w:r>
    </w:p>
    <w:p w14:paraId="11BF8C45" w14:textId="77777777" w:rsidR="00F563F9" w:rsidRDefault="00F563F9" w:rsidP="00DA2BB5">
      <w:pPr>
        <w:spacing w:line="240" w:lineRule="auto"/>
        <w:rPr>
          <w:rFonts w:ascii="Open Sans" w:eastAsia="Open Sans" w:hAnsi="Open Sans" w:cs="Open Sans"/>
          <w:sz w:val="20"/>
          <w:szCs w:val="20"/>
        </w:rPr>
      </w:pPr>
    </w:p>
    <w:p w14:paraId="7C74F680" w14:textId="77777777" w:rsidR="00F563F9" w:rsidRDefault="00000000" w:rsidP="00DA2BB5">
      <w:pPr>
        <w:spacing w:line="240" w:lineRule="auto"/>
        <w:rPr>
          <w:rFonts w:ascii="Open Sans" w:eastAsia="Open Sans" w:hAnsi="Open Sans" w:cs="Open Sans"/>
          <w:b/>
          <w:sz w:val="20"/>
          <w:szCs w:val="20"/>
        </w:rPr>
      </w:pPr>
      <w:r>
        <w:rPr>
          <w:rFonts w:ascii="Open Sans" w:eastAsia="Open Sans" w:hAnsi="Open Sans" w:cs="Open Sans"/>
          <w:b/>
          <w:sz w:val="20"/>
          <w:szCs w:val="20"/>
        </w:rPr>
        <w:t>WHAT IS A SOC 3 REPORT?</w:t>
      </w:r>
    </w:p>
    <w:p w14:paraId="2E21789F" w14:textId="77777777" w:rsidR="00F563F9" w:rsidRDefault="00F563F9" w:rsidP="00DA2BB5">
      <w:pPr>
        <w:spacing w:line="240" w:lineRule="auto"/>
        <w:rPr>
          <w:rFonts w:ascii="Open Sans" w:eastAsia="Open Sans" w:hAnsi="Open Sans" w:cs="Open Sans"/>
          <w:b/>
          <w:sz w:val="20"/>
          <w:szCs w:val="20"/>
        </w:rPr>
      </w:pPr>
    </w:p>
    <w:p w14:paraId="551D49CC"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 xml:space="preserve">A SOC 3 report is similar in scope to a SOC 2 report, but the information is packaged more concisely. This makes SOC 3 reports easier to read and a better fit for widespread distribution. </w:t>
      </w:r>
    </w:p>
    <w:p w14:paraId="5FA4EF60" w14:textId="77777777" w:rsidR="00F563F9" w:rsidRDefault="00F563F9" w:rsidP="00DA2BB5">
      <w:pPr>
        <w:spacing w:line="240" w:lineRule="auto"/>
        <w:rPr>
          <w:rFonts w:ascii="Open Sans" w:eastAsia="Open Sans" w:hAnsi="Open Sans" w:cs="Open Sans"/>
          <w:sz w:val="20"/>
          <w:szCs w:val="20"/>
        </w:rPr>
      </w:pPr>
    </w:p>
    <w:p w14:paraId="55800EAA" w14:textId="77777777" w:rsidR="00F563F9" w:rsidRDefault="00000000" w:rsidP="00DA2BB5">
      <w:pPr>
        <w:spacing w:line="240" w:lineRule="auto"/>
        <w:rPr>
          <w:rFonts w:ascii="Open Sans" w:eastAsia="Open Sans" w:hAnsi="Open Sans" w:cs="Open Sans"/>
          <w:b/>
          <w:sz w:val="20"/>
          <w:szCs w:val="20"/>
        </w:rPr>
      </w:pPr>
      <w:r>
        <w:rPr>
          <w:rFonts w:ascii="Open Sans" w:eastAsia="Open Sans" w:hAnsi="Open Sans" w:cs="Open Sans"/>
          <w:sz w:val="20"/>
          <w:szCs w:val="20"/>
        </w:rPr>
        <w:t>Both reports result from the same audit, and both can help communicate that an organization’s controls are properly designed and implemented and operating effectively.</w:t>
      </w:r>
    </w:p>
    <w:p w14:paraId="2CBF72F7" w14:textId="77777777" w:rsidR="00F563F9" w:rsidRDefault="00F563F9" w:rsidP="00DA2BB5">
      <w:pPr>
        <w:spacing w:line="240" w:lineRule="auto"/>
        <w:rPr>
          <w:rFonts w:ascii="Open Sans" w:eastAsia="Open Sans" w:hAnsi="Open Sans" w:cs="Open Sans"/>
          <w:color w:val="676767"/>
          <w:sz w:val="27"/>
          <w:szCs w:val="27"/>
        </w:rPr>
      </w:pPr>
    </w:p>
    <w:p w14:paraId="47AA3417" w14:textId="77777777" w:rsidR="00F563F9" w:rsidRDefault="00000000" w:rsidP="00DA2BB5">
      <w:pPr>
        <w:pStyle w:val="Heading2"/>
        <w:spacing w:line="240" w:lineRule="auto"/>
      </w:pPr>
      <w:bookmarkStart w:id="2" w:name="_2p5xo3td5onx" w:colFirst="0" w:colLast="0"/>
      <w:bookmarkEnd w:id="2"/>
      <w:r>
        <w:t>WHAT DO THESE REPORTS COVER?</w:t>
      </w:r>
    </w:p>
    <w:p w14:paraId="679D1F55" w14:textId="77777777" w:rsidR="00F563F9" w:rsidRDefault="00F563F9" w:rsidP="00DA2BB5">
      <w:pPr>
        <w:spacing w:line="240" w:lineRule="auto"/>
        <w:rPr>
          <w:rFonts w:ascii="Open Sans" w:eastAsia="Open Sans" w:hAnsi="Open Sans" w:cs="Open Sans"/>
          <w:sz w:val="20"/>
          <w:szCs w:val="20"/>
        </w:rPr>
      </w:pPr>
    </w:p>
    <w:p w14:paraId="11C7FCF0"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 xml:space="preserve">SOC reports result from an examination performed by an accredited CPA firm under the standards defined by SSAE 18. An auditor tests the effectiveness of the internal controls outlined by the organization, then maps those controls to one or a combination of Trust Services Criteria established by the </w:t>
      </w:r>
      <w:hyperlink r:id="rId7">
        <w:r>
          <w:rPr>
            <w:rFonts w:ascii="Open Sans" w:eastAsia="Open Sans" w:hAnsi="Open Sans" w:cs="Open Sans"/>
            <w:color w:val="1155CC"/>
            <w:sz w:val="20"/>
            <w:szCs w:val="20"/>
            <w:u w:val="single"/>
          </w:rPr>
          <w:t>American Institute of Certified Public Accountants (AICPA)</w:t>
        </w:r>
      </w:hyperlink>
      <w:r>
        <w:rPr>
          <w:rFonts w:ascii="Open Sans" w:eastAsia="Open Sans" w:hAnsi="Open Sans" w:cs="Open Sans"/>
          <w:sz w:val="20"/>
          <w:szCs w:val="20"/>
        </w:rPr>
        <w:t xml:space="preserve">. </w:t>
      </w:r>
    </w:p>
    <w:p w14:paraId="403F3CBC" w14:textId="77777777" w:rsidR="00F563F9" w:rsidRDefault="00F563F9" w:rsidP="00DA2BB5">
      <w:pPr>
        <w:spacing w:line="240" w:lineRule="auto"/>
        <w:rPr>
          <w:rFonts w:ascii="Open Sans" w:eastAsia="Open Sans" w:hAnsi="Open Sans" w:cs="Open Sans"/>
          <w:sz w:val="20"/>
          <w:szCs w:val="20"/>
        </w:rPr>
      </w:pPr>
    </w:p>
    <w:p w14:paraId="5509BEF4"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In our case, [that criterion includes/those criteria include]:</w:t>
      </w:r>
    </w:p>
    <w:p w14:paraId="71EF7B7E" w14:textId="77777777" w:rsidR="00F563F9" w:rsidRDefault="00F563F9" w:rsidP="00DA2BB5">
      <w:pPr>
        <w:spacing w:line="240" w:lineRule="auto"/>
        <w:rPr>
          <w:rFonts w:ascii="Open Sans" w:eastAsia="Open Sans" w:hAnsi="Open Sans" w:cs="Open Sans"/>
          <w:color w:val="0000FF"/>
          <w:sz w:val="20"/>
          <w:szCs w:val="20"/>
        </w:rPr>
      </w:pPr>
    </w:p>
    <w:p w14:paraId="0B617D59" w14:textId="77777777" w:rsidR="00F563F9" w:rsidRDefault="00000000" w:rsidP="00DA2BB5">
      <w:pPr>
        <w:numPr>
          <w:ilvl w:val="0"/>
          <w:numId w:val="1"/>
        </w:numPr>
        <w:spacing w:line="240" w:lineRule="auto"/>
        <w:rPr>
          <w:rFonts w:ascii="Roboto" w:eastAsia="Roboto" w:hAnsi="Roboto" w:cs="Roboto"/>
          <w:sz w:val="21"/>
          <w:szCs w:val="21"/>
        </w:rPr>
      </w:pPr>
      <w:r>
        <w:rPr>
          <w:rFonts w:ascii="Open Sans" w:eastAsia="Open Sans" w:hAnsi="Open Sans" w:cs="Open Sans"/>
          <w:b/>
          <w:sz w:val="20"/>
          <w:szCs w:val="20"/>
        </w:rPr>
        <w:t>Security</w:t>
      </w:r>
      <w:r>
        <w:rPr>
          <w:rFonts w:ascii="Open Sans" w:eastAsia="Open Sans" w:hAnsi="Open Sans" w:cs="Open Sans"/>
          <w:sz w:val="20"/>
          <w:szCs w:val="20"/>
        </w:rPr>
        <w:t>: The system is protected against unauthorized access (both physical and logical).</w:t>
      </w:r>
    </w:p>
    <w:p w14:paraId="36127A74" w14:textId="77777777" w:rsidR="00F563F9" w:rsidRDefault="00000000" w:rsidP="00DA2BB5">
      <w:pPr>
        <w:numPr>
          <w:ilvl w:val="0"/>
          <w:numId w:val="1"/>
        </w:numPr>
        <w:spacing w:line="240" w:lineRule="auto"/>
        <w:rPr>
          <w:rFonts w:ascii="Roboto" w:eastAsia="Roboto" w:hAnsi="Roboto" w:cs="Roboto"/>
          <w:sz w:val="21"/>
          <w:szCs w:val="21"/>
        </w:rPr>
      </w:pPr>
      <w:r>
        <w:rPr>
          <w:rFonts w:ascii="Open Sans" w:eastAsia="Open Sans" w:hAnsi="Open Sans" w:cs="Open Sans"/>
          <w:b/>
          <w:sz w:val="20"/>
          <w:szCs w:val="20"/>
        </w:rPr>
        <w:t>Availability</w:t>
      </w:r>
      <w:r>
        <w:rPr>
          <w:rFonts w:ascii="Open Sans" w:eastAsia="Open Sans" w:hAnsi="Open Sans" w:cs="Open Sans"/>
          <w:sz w:val="20"/>
          <w:szCs w:val="20"/>
        </w:rPr>
        <w:t>: The system is available for operation and use as committed or agreed.</w:t>
      </w:r>
    </w:p>
    <w:p w14:paraId="7DF073AD" w14:textId="77777777" w:rsidR="00F563F9" w:rsidRDefault="00000000" w:rsidP="00DA2BB5">
      <w:pPr>
        <w:numPr>
          <w:ilvl w:val="0"/>
          <w:numId w:val="1"/>
        </w:numPr>
        <w:spacing w:line="240" w:lineRule="auto"/>
        <w:rPr>
          <w:rFonts w:ascii="Roboto" w:eastAsia="Roboto" w:hAnsi="Roboto" w:cs="Roboto"/>
          <w:sz w:val="21"/>
          <w:szCs w:val="21"/>
        </w:rPr>
      </w:pPr>
      <w:r>
        <w:rPr>
          <w:rFonts w:ascii="Open Sans" w:eastAsia="Open Sans" w:hAnsi="Open Sans" w:cs="Open Sans"/>
          <w:b/>
          <w:sz w:val="20"/>
          <w:szCs w:val="20"/>
        </w:rPr>
        <w:t>Processing Integrity:</w:t>
      </w:r>
      <w:r>
        <w:rPr>
          <w:rFonts w:ascii="Open Sans" w:eastAsia="Open Sans" w:hAnsi="Open Sans" w:cs="Open Sans"/>
          <w:sz w:val="20"/>
          <w:szCs w:val="20"/>
        </w:rPr>
        <w:t xml:space="preserve"> System processing is complete, valid, accurate, timely, and authorized to meet the entity’s objectives.</w:t>
      </w:r>
    </w:p>
    <w:p w14:paraId="0C92B541" w14:textId="77777777" w:rsidR="00F563F9" w:rsidRDefault="00000000" w:rsidP="00DA2BB5">
      <w:pPr>
        <w:numPr>
          <w:ilvl w:val="0"/>
          <w:numId w:val="1"/>
        </w:numPr>
        <w:spacing w:line="240" w:lineRule="auto"/>
        <w:rPr>
          <w:rFonts w:ascii="Roboto" w:eastAsia="Roboto" w:hAnsi="Roboto" w:cs="Roboto"/>
          <w:sz w:val="21"/>
          <w:szCs w:val="21"/>
        </w:rPr>
      </w:pPr>
      <w:r>
        <w:rPr>
          <w:rFonts w:ascii="Open Sans" w:eastAsia="Open Sans" w:hAnsi="Open Sans" w:cs="Open Sans"/>
          <w:b/>
          <w:sz w:val="20"/>
          <w:szCs w:val="20"/>
        </w:rPr>
        <w:t>Confidentiality</w:t>
      </w:r>
      <w:r>
        <w:rPr>
          <w:rFonts w:ascii="Open Sans" w:eastAsia="Open Sans" w:hAnsi="Open Sans" w:cs="Open Sans"/>
          <w:sz w:val="20"/>
          <w:szCs w:val="20"/>
        </w:rPr>
        <w:t>: Information designated as confidential is protected as committed or agreed.</w:t>
      </w:r>
    </w:p>
    <w:p w14:paraId="73402666" w14:textId="77777777" w:rsidR="00F563F9" w:rsidRDefault="00000000" w:rsidP="00DA2BB5">
      <w:pPr>
        <w:numPr>
          <w:ilvl w:val="0"/>
          <w:numId w:val="1"/>
        </w:numPr>
        <w:spacing w:line="240" w:lineRule="auto"/>
        <w:rPr>
          <w:rFonts w:ascii="Roboto" w:eastAsia="Roboto" w:hAnsi="Roboto" w:cs="Roboto"/>
          <w:sz w:val="21"/>
          <w:szCs w:val="21"/>
        </w:rPr>
      </w:pPr>
      <w:r>
        <w:rPr>
          <w:rFonts w:ascii="Open Sans" w:eastAsia="Open Sans" w:hAnsi="Open Sans" w:cs="Open Sans"/>
          <w:b/>
          <w:sz w:val="20"/>
          <w:szCs w:val="20"/>
        </w:rPr>
        <w:t xml:space="preserve">Privacy: </w:t>
      </w:r>
      <w:r>
        <w:rPr>
          <w:rFonts w:ascii="Open Sans" w:eastAsia="Open Sans" w:hAnsi="Open Sans" w:cs="Open Sans"/>
          <w:sz w:val="20"/>
          <w:szCs w:val="20"/>
        </w:rPr>
        <w:t>Personal information is collected, used, retained, disclosed, and disposed of to meet the entity’s objectives.</w:t>
      </w:r>
    </w:p>
    <w:p w14:paraId="7F0E0233" w14:textId="77777777" w:rsidR="00F563F9" w:rsidRDefault="00F563F9" w:rsidP="00DA2BB5">
      <w:pPr>
        <w:spacing w:line="240" w:lineRule="auto"/>
        <w:rPr>
          <w:rFonts w:ascii="Open Sans" w:eastAsia="Open Sans" w:hAnsi="Open Sans" w:cs="Open Sans"/>
          <w:b/>
          <w:sz w:val="20"/>
          <w:szCs w:val="20"/>
        </w:rPr>
      </w:pPr>
    </w:p>
    <w:p w14:paraId="57775523"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 xml:space="preserve">The </w:t>
      </w:r>
      <w:hyperlink r:id="rId8">
        <w:r>
          <w:rPr>
            <w:rFonts w:ascii="Open Sans" w:eastAsia="Open Sans" w:hAnsi="Open Sans" w:cs="Open Sans"/>
            <w:color w:val="1155CC"/>
            <w:sz w:val="20"/>
            <w:szCs w:val="20"/>
            <w:u w:val="single"/>
          </w:rPr>
          <w:t>scope of a SOC report can also vary</w:t>
        </w:r>
      </w:hyperlink>
      <w:r>
        <w:rPr>
          <w:rFonts w:ascii="Open Sans" w:eastAsia="Open Sans" w:hAnsi="Open Sans" w:cs="Open Sans"/>
          <w:sz w:val="20"/>
          <w:szCs w:val="20"/>
        </w:rPr>
        <w:t xml:space="preserve"> with regard to the time period covered. SOC 2 Type II reports examine controls over a period of time, usually between three and 12 months, and include both a list of the controls tested as well as the auditor’s test results. </w:t>
      </w:r>
    </w:p>
    <w:p w14:paraId="180A0E3D" w14:textId="77777777" w:rsidR="00F563F9" w:rsidRDefault="00F563F9" w:rsidP="00DA2BB5">
      <w:pPr>
        <w:spacing w:line="240" w:lineRule="auto"/>
        <w:rPr>
          <w:rFonts w:ascii="Open Sans" w:eastAsia="Open Sans" w:hAnsi="Open Sans" w:cs="Open Sans"/>
          <w:sz w:val="20"/>
          <w:szCs w:val="20"/>
        </w:rPr>
      </w:pPr>
    </w:p>
    <w:p w14:paraId="54D0EA90" w14:textId="77777777" w:rsidR="00F563F9" w:rsidRDefault="00000000" w:rsidP="00DA2BB5">
      <w:pPr>
        <w:spacing w:line="240" w:lineRule="auto"/>
        <w:rPr>
          <w:rFonts w:ascii="Open Sans" w:eastAsia="Open Sans" w:hAnsi="Open Sans" w:cs="Open Sans"/>
          <w:b/>
          <w:sz w:val="20"/>
          <w:szCs w:val="20"/>
        </w:rPr>
      </w:pPr>
      <w:r>
        <w:rPr>
          <w:rFonts w:ascii="Open Sans" w:eastAsia="Open Sans" w:hAnsi="Open Sans" w:cs="Open Sans"/>
          <w:sz w:val="20"/>
          <w:szCs w:val="20"/>
        </w:rPr>
        <w:t>The reporting period for [COMPANY NAME]’s latest SOC 2 and SOC 3 reports spanned from [DATE] to [DATE].</w:t>
      </w:r>
    </w:p>
    <w:p w14:paraId="6DC37D30" w14:textId="77777777" w:rsidR="00F563F9" w:rsidRDefault="00F563F9" w:rsidP="00DA2BB5">
      <w:pPr>
        <w:pStyle w:val="Heading2"/>
        <w:spacing w:line="240" w:lineRule="auto"/>
      </w:pPr>
      <w:bookmarkStart w:id="3" w:name="_1be7tix38sv" w:colFirst="0" w:colLast="0"/>
      <w:bookmarkEnd w:id="3"/>
    </w:p>
    <w:p w14:paraId="7FA68355" w14:textId="77777777" w:rsidR="00F563F9" w:rsidRDefault="00000000" w:rsidP="00DA2BB5">
      <w:pPr>
        <w:pStyle w:val="Heading2"/>
        <w:spacing w:line="240" w:lineRule="auto"/>
      </w:pPr>
      <w:bookmarkStart w:id="4" w:name="_coegmexsw9vg" w:colFirst="0" w:colLast="0"/>
      <w:bookmarkEnd w:id="4"/>
      <w:r>
        <w:t>WHY DID WE UNDERGO THIS EXAM?</w:t>
      </w:r>
    </w:p>
    <w:p w14:paraId="32095F79" w14:textId="77777777" w:rsidR="00F563F9" w:rsidRDefault="00F563F9" w:rsidP="00DA2BB5">
      <w:pPr>
        <w:spacing w:line="240" w:lineRule="auto"/>
        <w:rPr>
          <w:rFonts w:ascii="Open Sans" w:eastAsia="Open Sans" w:hAnsi="Open Sans" w:cs="Open Sans"/>
          <w:sz w:val="20"/>
          <w:szCs w:val="20"/>
        </w:rPr>
      </w:pPr>
    </w:p>
    <w:p w14:paraId="2CA067B8"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 xml:space="preserve">Receiving our SOC 2 and SOC 3 reports marks a huge step forward in [COMPANY NAME]’s efforts to demonstrate our commitment to data security and ensure that we’re prepared to face the challenges of the ever-changing cybersecurity landscape. </w:t>
      </w:r>
    </w:p>
    <w:p w14:paraId="20B7D19E" w14:textId="77777777" w:rsidR="00F563F9" w:rsidRDefault="00F563F9" w:rsidP="00DA2BB5">
      <w:pPr>
        <w:spacing w:line="240" w:lineRule="auto"/>
        <w:rPr>
          <w:rFonts w:ascii="Open Sans" w:eastAsia="Open Sans" w:hAnsi="Open Sans" w:cs="Open Sans"/>
          <w:sz w:val="20"/>
          <w:szCs w:val="20"/>
        </w:rPr>
      </w:pPr>
    </w:p>
    <w:p w14:paraId="46F150B9"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“We are pleased that our SOC 2 and SOC 3 reports have shown we have the appropriate controls in place to mitigate risks related to [INSERT APPLICABLE TRUST SERVICES CRITERIA],” said [COMPANY REPRESENTATIVE NAME AND TITLE]. “[INSERT EXPLANATION OF WHY RELEVANT PRINCIPLES ARE IMPORTANT TO YOUR ORGANIZATION].”</w:t>
      </w:r>
    </w:p>
    <w:p w14:paraId="32B29722" w14:textId="77777777" w:rsidR="00F563F9" w:rsidRDefault="00F563F9" w:rsidP="00DA2BB5">
      <w:pPr>
        <w:spacing w:line="240" w:lineRule="auto"/>
        <w:rPr>
          <w:rFonts w:ascii="Open Sans" w:eastAsia="Open Sans" w:hAnsi="Open Sans" w:cs="Open Sans"/>
          <w:sz w:val="20"/>
          <w:szCs w:val="20"/>
          <w:highlight w:val="cyan"/>
        </w:rPr>
      </w:pPr>
    </w:p>
    <w:p w14:paraId="085CC999" w14:textId="77777777" w:rsidR="00F563F9" w:rsidRDefault="00000000" w:rsidP="00DA2BB5">
      <w:pPr>
        <w:pStyle w:val="Heading2"/>
        <w:spacing w:line="240" w:lineRule="auto"/>
      </w:pPr>
      <w:bookmarkStart w:id="5" w:name="_5u5avflmedfd" w:colFirst="0" w:colLast="0"/>
      <w:bookmarkEnd w:id="5"/>
      <w:r>
        <w:t>WHERE CAN I GO FOR MORE INFORMATION?</w:t>
      </w:r>
    </w:p>
    <w:p w14:paraId="6AAEA8AE" w14:textId="77777777" w:rsidR="00F563F9" w:rsidRDefault="00F563F9" w:rsidP="00DA2BB5">
      <w:pPr>
        <w:spacing w:line="240" w:lineRule="auto"/>
        <w:rPr>
          <w:rFonts w:ascii="Open Sans" w:eastAsia="Open Sans" w:hAnsi="Open Sans" w:cs="Open Sans"/>
          <w:sz w:val="20"/>
          <w:szCs w:val="20"/>
        </w:rPr>
      </w:pPr>
    </w:p>
    <w:p w14:paraId="4989FA98" w14:textId="77777777" w:rsidR="00F563F9" w:rsidRDefault="00000000" w:rsidP="00DA2BB5">
      <w:pPr>
        <w:spacing w:line="240" w:lineRule="auto"/>
        <w:rPr>
          <w:rFonts w:ascii="Open Sans" w:eastAsia="Open Sans" w:hAnsi="Open Sans" w:cs="Open Sans"/>
          <w:sz w:val="20"/>
          <w:szCs w:val="20"/>
        </w:rPr>
      </w:pPr>
      <w:r>
        <w:rPr>
          <w:rFonts w:ascii="Open Sans" w:eastAsia="Open Sans" w:hAnsi="Open Sans" w:cs="Open Sans"/>
          <w:sz w:val="20"/>
          <w:szCs w:val="20"/>
        </w:rPr>
        <w:t xml:space="preserve">Our auditing partner, </w:t>
      </w:r>
      <w:hyperlink r:id="rId9">
        <w:r>
          <w:rPr>
            <w:rFonts w:ascii="Open Sans" w:eastAsia="Open Sans" w:hAnsi="Open Sans" w:cs="Open Sans"/>
            <w:color w:val="1155CC"/>
            <w:sz w:val="20"/>
            <w:szCs w:val="20"/>
            <w:u w:val="single"/>
          </w:rPr>
          <w:t>BARR Advisory</w:t>
        </w:r>
      </w:hyperlink>
      <w:r>
        <w:rPr>
          <w:rFonts w:ascii="Open Sans" w:eastAsia="Open Sans" w:hAnsi="Open Sans" w:cs="Open Sans"/>
          <w:sz w:val="20"/>
          <w:szCs w:val="20"/>
        </w:rPr>
        <w:t xml:space="preserve">, has provided a </w:t>
      </w:r>
      <w:hyperlink r:id="rId10">
        <w:r>
          <w:rPr>
            <w:rFonts w:ascii="Open Sans" w:eastAsia="Open Sans" w:hAnsi="Open Sans" w:cs="Open Sans"/>
            <w:color w:val="1155CC"/>
            <w:sz w:val="20"/>
            <w:szCs w:val="20"/>
            <w:u w:val="single"/>
          </w:rPr>
          <w:t>comprehensive overview of the different types of SOC examinations</w:t>
        </w:r>
      </w:hyperlink>
      <w:r>
        <w:rPr>
          <w:rFonts w:ascii="Open Sans" w:eastAsia="Open Sans" w:hAnsi="Open Sans" w:cs="Open Sans"/>
          <w:sz w:val="20"/>
          <w:szCs w:val="20"/>
        </w:rPr>
        <w:t xml:space="preserve"> and their unique requirements for cloud service organizations.</w:t>
      </w:r>
    </w:p>
    <w:p w14:paraId="4D5F7BD3" w14:textId="77777777" w:rsidR="00F563F9" w:rsidRDefault="00F563F9" w:rsidP="00DA2BB5">
      <w:pPr>
        <w:spacing w:line="240" w:lineRule="auto"/>
        <w:rPr>
          <w:rFonts w:ascii="Open Sans" w:eastAsia="Open Sans" w:hAnsi="Open Sans" w:cs="Open Sans"/>
          <w:sz w:val="20"/>
          <w:szCs w:val="20"/>
        </w:rPr>
      </w:pPr>
    </w:p>
    <w:p w14:paraId="631E28FD" w14:textId="77777777" w:rsidR="00F563F9" w:rsidRDefault="00000000" w:rsidP="00DA2BB5">
      <w:pPr>
        <w:spacing w:line="240" w:lineRule="auto"/>
        <w:rPr>
          <w:rFonts w:ascii="Open Sans" w:eastAsia="Open Sans" w:hAnsi="Open Sans" w:cs="Open Sans"/>
          <w:color w:val="FF00FF"/>
          <w:sz w:val="20"/>
          <w:szCs w:val="20"/>
        </w:rPr>
      </w:pPr>
      <w:r>
        <w:rPr>
          <w:rFonts w:ascii="Open Sans" w:eastAsia="Open Sans" w:hAnsi="Open Sans" w:cs="Open Sans"/>
          <w:sz w:val="20"/>
          <w:szCs w:val="20"/>
        </w:rPr>
        <w:t>Current and prospective customers interested in obtaining a copy of [COMPANY NAME]’s latest SOC 2 Type II or SOC 3 reports may contact [NAME] at [PHONE/EMAIL].</w:t>
      </w:r>
    </w:p>
    <w:sectPr w:rsidR="00F563F9">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51E4" w14:textId="77777777" w:rsidR="00A83373" w:rsidRDefault="00A83373">
      <w:pPr>
        <w:spacing w:line="240" w:lineRule="auto"/>
      </w:pPr>
      <w:r>
        <w:separator/>
      </w:r>
    </w:p>
  </w:endnote>
  <w:endnote w:type="continuationSeparator" w:id="0">
    <w:p w14:paraId="00802AD3" w14:textId="77777777" w:rsidR="00A83373" w:rsidRDefault="00A83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7434" w14:textId="77777777" w:rsidR="00A83373" w:rsidRDefault="00A83373">
      <w:pPr>
        <w:spacing w:line="240" w:lineRule="auto"/>
      </w:pPr>
      <w:r>
        <w:separator/>
      </w:r>
    </w:p>
  </w:footnote>
  <w:footnote w:type="continuationSeparator" w:id="0">
    <w:p w14:paraId="756C2FA8" w14:textId="77777777" w:rsidR="00A83373" w:rsidRDefault="00A83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66B6" w14:textId="77777777" w:rsidR="00F563F9" w:rsidRDefault="00000000">
    <w:r>
      <w:rPr>
        <w:noProof/>
      </w:rPr>
      <w:drawing>
        <wp:anchor distT="114300" distB="114300" distL="114300" distR="114300" simplePos="0" relativeHeight="251658240" behindDoc="0" locked="0" layoutInCell="1" hidden="0" allowOverlap="1" wp14:anchorId="52120C84" wp14:editId="197717B8">
          <wp:simplePos x="0" y="0"/>
          <wp:positionH relativeFrom="column">
            <wp:posOffset>4962525</wp:posOffset>
          </wp:positionH>
          <wp:positionV relativeFrom="paragraph">
            <wp:posOffset>228600</wp:posOffset>
          </wp:positionV>
          <wp:extent cx="1442041" cy="442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33" t="-13333" r="-10075" b="-22222"/>
                  <a:stretch>
                    <a:fillRect/>
                  </a:stretch>
                </pic:blipFill>
                <pic:spPr>
                  <a:xfrm>
                    <a:off x="0" y="0"/>
                    <a:ext cx="1442041" cy="442913"/>
                  </a:xfrm>
                  <a:prstGeom prst="rect">
                    <a:avLst/>
                  </a:prstGeom>
                  <a:ln/>
                </pic:spPr>
              </pic:pic>
            </a:graphicData>
          </a:graphic>
        </wp:anchor>
      </w:drawing>
    </w:r>
  </w:p>
  <w:p w14:paraId="38510BA4" w14:textId="77777777" w:rsidR="00F563F9" w:rsidRDefault="00F563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21177"/>
    <w:multiLevelType w:val="multilevel"/>
    <w:tmpl w:val="6074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33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F9"/>
    <w:rsid w:val="00A83373"/>
    <w:rsid w:val="00DA2BB5"/>
    <w:rsid w:val="00F5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0CE6F"/>
  <w15:docId w15:val="{A9E3163E-5A46-E143-B421-F623B1A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Open Sans" w:eastAsia="Open Sans" w:hAnsi="Open Sans" w:cs="Open Sans"/>
      <w:b/>
      <w:sz w:val="20"/>
      <w:szCs w:val="20"/>
    </w:rPr>
  </w:style>
  <w:style w:type="paragraph" w:styleId="Heading2">
    <w:name w:val="heading 2"/>
    <w:basedOn w:val="Normal"/>
    <w:next w:val="Normal"/>
    <w:uiPriority w:val="9"/>
    <w:unhideWhenUsed/>
    <w:qFormat/>
    <w:pPr>
      <w:keepNext/>
      <w:keepLines/>
      <w:outlineLvl w:val="1"/>
    </w:pPr>
    <w:rPr>
      <w:rFonts w:ascii="Open Sans" w:eastAsia="Open Sans" w:hAnsi="Open Sans" w:cs="Open Sans"/>
      <w:b/>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rradvisory.com/blog/sections-of-a-soc-2-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cpa-cima.com/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rradvisory.com/wp-content/uploads/2023/01/A-Complete-Guide-to-SOC-Examinations-A-Proven-Process-.pdf" TargetMode="External"/><Relationship Id="rId4" Type="http://schemas.openxmlformats.org/officeDocument/2006/relationships/webSettings" Target="webSettings.xml"/><Relationship Id="rId9" Type="http://schemas.openxmlformats.org/officeDocument/2006/relationships/hyperlink" Target="http://barradvis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Rawlings</cp:lastModifiedBy>
  <cp:revision>2</cp:revision>
  <dcterms:created xsi:type="dcterms:W3CDTF">2023-06-05T18:54:00Z</dcterms:created>
  <dcterms:modified xsi:type="dcterms:W3CDTF">2023-06-05T18:54:00Z</dcterms:modified>
</cp:coreProperties>
</file>