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3D29" w14:textId="77777777" w:rsidR="00F563F9" w:rsidRDefault="00000000" w:rsidP="00DA2BB5">
      <w:pPr>
        <w:spacing w:after="200" w:line="240" w:lineRule="auto"/>
        <w:rPr>
          <w:color w:val="FF0000"/>
        </w:rPr>
      </w:pPr>
      <w:r>
        <w:rPr>
          <w:rFonts w:ascii="Open Sans" w:eastAsia="Open Sans" w:hAnsi="Open Sans" w:cs="Open Sans"/>
          <w:color w:val="FF0000"/>
        </w:rPr>
        <w:t xml:space="preserve">SAMPLE — PLEASE UPDATE </w:t>
      </w:r>
      <w:r>
        <w:rPr>
          <w:rFonts w:ascii="Open Sans" w:eastAsia="Open Sans" w:hAnsi="Open Sans" w:cs="Open Sans"/>
          <w:color w:val="FF0000"/>
          <w:u w:val="single"/>
        </w:rPr>
        <w:t>ACCORDING TO YOUR APPLICABLE TRUST SERVICES CRITERIA</w:t>
      </w:r>
      <w:r>
        <w:rPr>
          <w:rFonts w:ascii="Open Sans" w:eastAsia="Open Sans" w:hAnsi="Open Sans" w:cs="Open Sans"/>
          <w:color w:val="FF0000"/>
        </w:rPr>
        <w:t>, COMPANY DETAILS, AND CONTACT INFORMATION</w:t>
      </w:r>
    </w:p>
    <w:p w14:paraId="541A3705" w14:textId="77777777" w:rsidR="00F563F9" w:rsidRDefault="00F563F9" w:rsidP="00DA2BB5">
      <w:pPr>
        <w:spacing w:line="240" w:lineRule="auto"/>
        <w:rPr>
          <w:rFonts w:ascii="Open Sans" w:eastAsia="Open Sans" w:hAnsi="Open Sans" w:cs="Open Sans"/>
          <w:sz w:val="20"/>
          <w:szCs w:val="20"/>
        </w:rPr>
      </w:pPr>
    </w:p>
    <w:p w14:paraId="0CBD8E97" w14:textId="77777777" w:rsidR="00F563F9" w:rsidRDefault="00000000" w:rsidP="00DA2BB5">
      <w:pPr>
        <w:pStyle w:val="Heading1"/>
        <w:spacing w:line="240" w:lineRule="auto"/>
      </w:pPr>
      <w:bookmarkStart w:id="0" w:name="_bzsl468wfx92" w:colFirst="0" w:colLast="0"/>
      <w:bookmarkEnd w:id="0"/>
      <w:r>
        <w:t>[Company Name] Has Announced Our Latest SOC 2 and SOC 3 Reports. Here’s What That Means For You.</w:t>
      </w:r>
    </w:p>
    <w:p w14:paraId="5F13ED2D" w14:textId="77777777" w:rsidR="00F563F9" w:rsidRDefault="00F563F9" w:rsidP="00DA2BB5">
      <w:pPr>
        <w:spacing w:line="240" w:lineRule="auto"/>
        <w:rPr>
          <w:rFonts w:ascii="Open Sans" w:eastAsia="Open Sans" w:hAnsi="Open Sans" w:cs="Open Sans"/>
          <w:color w:val="FF00FF"/>
          <w:sz w:val="20"/>
          <w:szCs w:val="20"/>
          <w:highlight w:val="green"/>
        </w:rPr>
      </w:pPr>
    </w:p>
    <w:p w14:paraId="1A7ECBA4" w14:textId="77777777" w:rsidR="00F563F9" w:rsidRDefault="00000000" w:rsidP="00DA2BB5">
      <w:pPr>
        <w:spacing w:line="240" w:lineRule="auto"/>
        <w:rPr>
          <w:rFonts w:ascii="Open Sans" w:eastAsia="Open Sans" w:hAnsi="Open Sans" w:cs="Open Sans"/>
          <w:sz w:val="20"/>
          <w:szCs w:val="20"/>
        </w:rPr>
      </w:pPr>
      <w:r>
        <w:rPr>
          <w:rFonts w:ascii="Open Sans" w:eastAsia="Open Sans" w:hAnsi="Open Sans" w:cs="Open Sans"/>
          <w:sz w:val="20"/>
          <w:szCs w:val="20"/>
        </w:rPr>
        <w:t>[COMPANY NAME] recently received our latest SOC 2 and SOC 3 reports. But what do these reports mean for us as an organization—and for you as our customer?</w:t>
      </w:r>
    </w:p>
    <w:p w14:paraId="0D570276" w14:textId="77777777" w:rsidR="00F563F9" w:rsidRDefault="00F563F9" w:rsidP="00DA2BB5">
      <w:pPr>
        <w:spacing w:line="240" w:lineRule="auto"/>
        <w:rPr>
          <w:rFonts w:ascii="Open Sans" w:eastAsia="Open Sans" w:hAnsi="Open Sans" w:cs="Open Sans"/>
          <w:sz w:val="20"/>
          <w:szCs w:val="20"/>
        </w:rPr>
      </w:pPr>
    </w:p>
    <w:p w14:paraId="5E061EF7" w14:textId="77777777" w:rsidR="00F563F9" w:rsidRDefault="00000000" w:rsidP="00DA2BB5">
      <w:pPr>
        <w:spacing w:line="240" w:lineRule="auto"/>
        <w:rPr>
          <w:rFonts w:ascii="Open Sans" w:eastAsia="Open Sans" w:hAnsi="Open Sans" w:cs="Open Sans"/>
          <w:sz w:val="20"/>
          <w:szCs w:val="20"/>
        </w:rPr>
      </w:pPr>
      <w:r>
        <w:rPr>
          <w:rFonts w:ascii="Open Sans" w:eastAsia="Open Sans" w:hAnsi="Open Sans" w:cs="Open Sans"/>
          <w:sz w:val="20"/>
          <w:szCs w:val="20"/>
        </w:rPr>
        <w:t>At [COMPANY NAME], keeping customer and stakeholder data secure is our top priority. To ensure that our systems and controls have been designed appropriately to achieve that goal, we sought out third-party attestation from a qualified auditing firm. Our SOC 2 and SOC 3 reports are the result of their examination.</w:t>
      </w:r>
    </w:p>
    <w:p w14:paraId="2BDEC91E" w14:textId="77777777" w:rsidR="00F563F9" w:rsidRDefault="00F563F9" w:rsidP="00DA2BB5">
      <w:pPr>
        <w:spacing w:line="240" w:lineRule="auto"/>
        <w:rPr>
          <w:rFonts w:ascii="Open Sans" w:eastAsia="Open Sans" w:hAnsi="Open Sans" w:cs="Open Sans"/>
          <w:sz w:val="20"/>
          <w:szCs w:val="20"/>
        </w:rPr>
      </w:pPr>
    </w:p>
    <w:p w14:paraId="1CD64025" w14:textId="77777777" w:rsidR="00F563F9" w:rsidRDefault="00000000" w:rsidP="00DA2BB5">
      <w:pPr>
        <w:spacing w:line="240" w:lineRule="auto"/>
        <w:rPr>
          <w:rFonts w:ascii="Open Sans" w:eastAsia="Open Sans" w:hAnsi="Open Sans" w:cs="Open Sans"/>
          <w:sz w:val="20"/>
          <w:szCs w:val="20"/>
        </w:rPr>
      </w:pPr>
      <w:r>
        <w:rPr>
          <w:rFonts w:ascii="Open Sans" w:eastAsia="Open Sans" w:hAnsi="Open Sans" w:cs="Open Sans"/>
          <w:sz w:val="20"/>
          <w:szCs w:val="20"/>
        </w:rPr>
        <w:t>In this blog post, we’ll explain what these reports are, what they cover, and why we chose to undergo this rigorous compliance audit.</w:t>
      </w:r>
    </w:p>
    <w:p w14:paraId="6267806A" w14:textId="77777777" w:rsidR="00F563F9" w:rsidRDefault="00F563F9" w:rsidP="00DA2BB5">
      <w:pPr>
        <w:spacing w:line="240" w:lineRule="auto"/>
        <w:rPr>
          <w:rFonts w:ascii="Open Sans" w:eastAsia="Open Sans" w:hAnsi="Open Sans" w:cs="Open Sans"/>
          <w:sz w:val="20"/>
          <w:szCs w:val="20"/>
        </w:rPr>
      </w:pPr>
    </w:p>
    <w:p w14:paraId="37B64C75" w14:textId="77777777" w:rsidR="00F563F9" w:rsidRDefault="00000000" w:rsidP="00DA2BB5">
      <w:pPr>
        <w:pStyle w:val="Heading2"/>
        <w:spacing w:line="240" w:lineRule="auto"/>
      </w:pPr>
      <w:bookmarkStart w:id="1" w:name="_ha5hrep0xuzn" w:colFirst="0" w:colLast="0"/>
      <w:bookmarkEnd w:id="1"/>
      <w:r>
        <w:t>WHAT IS A SOC 2 REPORT?</w:t>
      </w:r>
    </w:p>
    <w:p w14:paraId="679FF832" w14:textId="77777777" w:rsidR="00F563F9" w:rsidRDefault="00F563F9" w:rsidP="00DA2BB5">
      <w:pPr>
        <w:spacing w:line="240" w:lineRule="auto"/>
        <w:rPr>
          <w:rFonts w:ascii="Open Sans" w:eastAsia="Open Sans" w:hAnsi="Open Sans" w:cs="Open Sans"/>
          <w:sz w:val="20"/>
          <w:szCs w:val="20"/>
        </w:rPr>
      </w:pPr>
    </w:p>
    <w:p w14:paraId="7F01923E" w14:textId="77777777" w:rsidR="00F563F9" w:rsidRDefault="00000000" w:rsidP="00DA2BB5">
      <w:pPr>
        <w:spacing w:line="240" w:lineRule="auto"/>
        <w:rPr>
          <w:rFonts w:ascii="Open Sans" w:eastAsia="Open Sans" w:hAnsi="Open Sans" w:cs="Open Sans"/>
          <w:color w:val="FF00FF"/>
          <w:sz w:val="20"/>
          <w:szCs w:val="20"/>
        </w:rPr>
      </w:pPr>
      <w:r>
        <w:rPr>
          <w:rFonts w:ascii="Open Sans" w:eastAsia="Open Sans" w:hAnsi="Open Sans" w:cs="Open Sans"/>
          <w:sz w:val="20"/>
          <w:szCs w:val="20"/>
        </w:rPr>
        <w:t xml:space="preserve">Obtaining a System and Organization Controls (SOC) 2 report is one way for a service organization to attest to the security of its digital environment. </w:t>
      </w:r>
    </w:p>
    <w:p w14:paraId="7A544CEE" w14:textId="77777777" w:rsidR="00F563F9" w:rsidRDefault="00F563F9" w:rsidP="00DA2BB5">
      <w:pPr>
        <w:spacing w:line="240" w:lineRule="auto"/>
        <w:rPr>
          <w:rFonts w:ascii="Open Sans" w:eastAsia="Open Sans" w:hAnsi="Open Sans" w:cs="Open Sans"/>
          <w:color w:val="FF00FF"/>
          <w:sz w:val="20"/>
          <w:szCs w:val="20"/>
        </w:rPr>
      </w:pPr>
    </w:p>
    <w:p w14:paraId="0F1842C5" w14:textId="77777777" w:rsidR="00F563F9" w:rsidRDefault="00000000" w:rsidP="00DA2BB5">
      <w:pPr>
        <w:spacing w:line="240" w:lineRule="auto"/>
        <w:rPr>
          <w:rFonts w:ascii="Open Sans" w:eastAsia="Open Sans" w:hAnsi="Open Sans" w:cs="Open Sans"/>
          <w:sz w:val="20"/>
          <w:szCs w:val="20"/>
        </w:rPr>
      </w:pPr>
      <w:r>
        <w:rPr>
          <w:rFonts w:ascii="Open Sans" w:eastAsia="Open Sans" w:hAnsi="Open Sans" w:cs="Open Sans"/>
          <w:sz w:val="20"/>
          <w:szCs w:val="20"/>
        </w:rPr>
        <w:t>Completing a SOC 2 examination through an accredited third-party auditor does not result in any certification. Instead, the resulting CPA’s report functions as a tool to help an organization communicate whether the internal controls they’ve put in place governing the security of customers’, partners’, and stakeholders’ data are properly designed, implemented, and maintained.</w:t>
      </w:r>
    </w:p>
    <w:p w14:paraId="30C6403B" w14:textId="77777777" w:rsidR="00F563F9" w:rsidRDefault="00F563F9" w:rsidP="00DA2BB5">
      <w:pPr>
        <w:spacing w:line="240" w:lineRule="auto"/>
        <w:rPr>
          <w:rFonts w:ascii="Open Sans" w:eastAsia="Open Sans" w:hAnsi="Open Sans" w:cs="Open Sans"/>
          <w:sz w:val="20"/>
          <w:szCs w:val="20"/>
        </w:rPr>
      </w:pPr>
    </w:p>
    <w:p w14:paraId="409AE7E8" w14:textId="77777777" w:rsidR="00F563F9" w:rsidRDefault="00000000" w:rsidP="00DA2BB5">
      <w:pPr>
        <w:spacing w:line="240" w:lineRule="auto"/>
        <w:rPr>
          <w:rFonts w:ascii="Open Sans" w:eastAsia="Open Sans" w:hAnsi="Open Sans" w:cs="Open Sans"/>
          <w:sz w:val="20"/>
          <w:szCs w:val="20"/>
        </w:rPr>
      </w:pPr>
      <w:r>
        <w:rPr>
          <w:rFonts w:ascii="Open Sans" w:eastAsia="Open Sans" w:hAnsi="Open Sans" w:cs="Open Sans"/>
          <w:sz w:val="20"/>
          <w:szCs w:val="20"/>
        </w:rPr>
        <w:t>In simpler terms, a SOC 2 report provides an avenue for current and potential stakeholders to assess risk by giving them a closer look at the policies and procedures put in place to ensure the organization’s services are provided safely and reliably.</w:t>
      </w:r>
    </w:p>
    <w:p w14:paraId="11BF8C45" w14:textId="77777777" w:rsidR="00F563F9" w:rsidRDefault="00F563F9" w:rsidP="00DA2BB5">
      <w:pPr>
        <w:spacing w:line="240" w:lineRule="auto"/>
        <w:rPr>
          <w:rFonts w:ascii="Open Sans" w:eastAsia="Open Sans" w:hAnsi="Open Sans" w:cs="Open Sans"/>
          <w:sz w:val="20"/>
          <w:szCs w:val="20"/>
        </w:rPr>
      </w:pPr>
    </w:p>
    <w:p w14:paraId="7C74F680" w14:textId="77777777" w:rsidR="00F563F9" w:rsidRDefault="00000000" w:rsidP="00DA2BB5">
      <w:pPr>
        <w:spacing w:line="240" w:lineRule="auto"/>
        <w:rPr>
          <w:rFonts w:ascii="Open Sans" w:eastAsia="Open Sans" w:hAnsi="Open Sans" w:cs="Open Sans"/>
          <w:b/>
          <w:sz w:val="20"/>
          <w:szCs w:val="20"/>
        </w:rPr>
      </w:pPr>
      <w:r>
        <w:rPr>
          <w:rFonts w:ascii="Open Sans" w:eastAsia="Open Sans" w:hAnsi="Open Sans" w:cs="Open Sans"/>
          <w:b/>
          <w:sz w:val="20"/>
          <w:szCs w:val="20"/>
        </w:rPr>
        <w:t>WHAT IS A SOC 3 REPORT?</w:t>
      </w:r>
    </w:p>
    <w:p w14:paraId="2E21789F" w14:textId="77777777" w:rsidR="00F563F9" w:rsidRDefault="00F563F9" w:rsidP="00DA2BB5">
      <w:pPr>
        <w:spacing w:line="240" w:lineRule="auto"/>
        <w:rPr>
          <w:rFonts w:ascii="Open Sans" w:eastAsia="Open Sans" w:hAnsi="Open Sans" w:cs="Open Sans"/>
          <w:b/>
          <w:sz w:val="20"/>
          <w:szCs w:val="20"/>
        </w:rPr>
      </w:pPr>
    </w:p>
    <w:p w14:paraId="551D49CC" w14:textId="77777777" w:rsidR="00F563F9" w:rsidRDefault="00000000" w:rsidP="00DA2BB5">
      <w:pPr>
        <w:spacing w:line="240" w:lineRule="auto"/>
        <w:rPr>
          <w:rFonts w:ascii="Open Sans" w:eastAsia="Open Sans" w:hAnsi="Open Sans" w:cs="Open Sans"/>
          <w:sz w:val="20"/>
          <w:szCs w:val="20"/>
        </w:rPr>
      </w:pPr>
      <w:r>
        <w:rPr>
          <w:rFonts w:ascii="Open Sans" w:eastAsia="Open Sans" w:hAnsi="Open Sans" w:cs="Open Sans"/>
          <w:sz w:val="20"/>
          <w:szCs w:val="20"/>
        </w:rPr>
        <w:t xml:space="preserve">A SOC 3 report is similar in scope to a SOC 2 report, but the information is packaged more concisely. This makes SOC 3 reports easier to read and a better fit for widespread distribution. </w:t>
      </w:r>
    </w:p>
    <w:p w14:paraId="5FA4EF60" w14:textId="77777777" w:rsidR="00F563F9" w:rsidRDefault="00F563F9" w:rsidP="00DA2BB5">
      <w:pPr>
        <w:spacing w:line="240" w:lineRule="auto"/>
        <w:rPr>
          <w:rFonts w:ascii="Open Sans" w:eastAsia="Open Sans" w:hAnsi="Open Sans" w:cs="Open Sans"/>
          <w:sz w:val="20"/>
          <w:szCs w:val="20"/>
        </w:rPr>
      </w:pPr>
    </w:p>
    <w:p w14:paraId="55800EAA" w14:textId="77777777" w:rsidR="00F563F9" w:rsidRDefault="00000000" w:rsidP="00DA2BB5">
      <w:pPr>
        <w:spacing w:line="240" w:lineRule="auto"/>
        <w:rPr>
          <w:rFonts w:ascii="Open Sans" w:eastAsia="Open Sans" w:hAnsi="Open Sans" w:cs="Open Sans"/>
          <w:b/>
          <w:sz w:val="20"/>
          <w:szCs w:val="20"/>
        </w:rPr>
      </w:pPr>
      <w:r>
        <w:rPr>
          <w:rFonts w:ascii="Open Sans" w:eastAsia="Open Sans" w:hAnsi="Open Sans" w:cs="Open Sans"/>
          <w:sz w:val="20"/>
          <w:szCs w:val="20"/>
        </w:rPr>
        <w:t>Both reports result from the same audit, and both can help communicate that an organization’s controls are properly designed and implemented and operating effectively.</w:t>
      </w:r>
    </w:p>
    <w:p w14:paraId="2CBF72F7" w14:textId="77777777" w:rsidR="00F563F9" w:rsidRDefault="00F563F9" w:rsidP="00DA2BB5">
      <w:pPr>
        <w:spacing w:line="240" w:lineRule="auto"/>
        <w:rPr>
          <w:rFonts w:ascii="Open Sans" w:eastAsia="Open Sans" w:hAnsi="Open Sans" w:cs="Open Sans"/>
          <w:color w:val="676767"/>
          <w:sz w:val="27"/>
          <w:szCs w:val="27"/>
        </w:rPr>
      </w:pPr>
    </w:p>
    <w:p w14:paraId="47AA3417" w14:textId="77777777" w:rsidR="00F563F9" w:rsidRDefault="00000000" w:rsidP="00DA2BB5">
      <w:pPr>
        <w:pStyle w:val="Heading2"/>
        <w:spacing w:line="240" w:lineRule="auto"/>
      </w:pPr>
      <w:bookmarkStart w:id="2" w:name="_2p5xo3td5onx" w:colFirst="0" w:colLast="0"/>
      <w:bookmarkEnd w:id="2"/>
      <w:r>
        <w:t>WHAT DO THESE REPORTS COVER?</w:t>
      </w:r>
    </w:p>
    <w:p w14:paraId="679D1F55" w14:textId="77777777" w:rsidR="00F563F9" w:rsidRDefault="00F563F9" w:rsidP="00DA2BB5">
      <w:pPr>
        <w:spacing w:line="240" w:lineRule="auto"/>
        <w:rPr>
          <w:rFonts w:ascii="Open Sans" w:eastAsia="Open Sans" w:hAnsi="Open Sans" w:cs="Open Sans"/>
          <w:sz w:val="20"/>
          <w:szCs w:val="20"/>
        </w:rPr>
      </w:pPr>
    </w:p>
    <w:p w14:paraId="11C7FCF0" w14:textId="77777777" w:rsidR="00F563F9" w:rsidRDefault="00000000" w:rsidP="00DA2BB5">
      <w:pPr>
        <w:spacing w:line="240" w:lineRule="auto"/>
        <w:rPr>
          <w:rFonts w:ascii="Open Sans" w:eastAsia="Open Sans" w:hAnsi="Open Sans" w:cs="Open Sans"/>
          <w:sz w:val="20"/>
          <w:szCs w:val="20"/>
        </w:rPr>
      </w:pPr>
      <w:r>
        <w:rPr>
          <w:rFonts w:ascii="Open Sans" w:eastAsia="Open Sans" w:hAnsi="Open Sans" w:cs="Open Sans"/>
          <w:sz w:val="20"/>
          <w:szCs w:val="20"/>
        </w:rPr>
        <w:t xml:space="preserve">SOC reports result from an examination performed by an accredited CPA firm under the standards defined by SSAE 18. An auditor tests the effectiveness of the internal controls outlined by the organization, then maps those controls to one or a combination of Trust Services Criteria established by the </w:t>
      </w:r>
      <w:hyperlink r:id="rId7">
        <w:r>
          <w:rPr>
            <w:rFonts w:ascii="Open Sans" w:eastAsia="Open Sans" w:hAnsi="Open Sans" w:cs="Open Sans"/>
            <w:color w:val="1155CC"/>
            <w:sz w:val="20"/>
            <w:szCs w:val="20"/>
            <w:u w:val="single"/>
          </w:rPr>
          <w:t>American Institute of Certified Public Accountants (AICPA)</w:t>
        </w:r>
      </w:hyperlink>
      <w:r>
        <w:rPr>
          <w:rFonts w:ascii="Open Sans" w:eastAsia="Open Sans" w:hAnsi="Open Sans" w:cs="Open Sans"/>
          <w:sz w:val="20"/>
          <w:szCs w:val="20"/>
        </w:rPr>
        <w:t xml:space="preserve">. </w:t>
      </w:r>
    </w:p>
    <w:p w14:paraId="403F3CBC" w14:textId="77777777" w:rsidR="00F563F9" w:rsidRDefault="00F563F9" w:rsidP="00DA2BB5">
      <w:pPr>
        <w:spacing w:line="240" w:lineRule="auto"/>
        <w:rPr>
          <w:rFonts w:ascii="Open Sans" w:eastAsia="Open Sans" w:hAnsi="Open Sans" w:cs="Open Sans"/>
          <w:sz w:val="20"/>
          <w:szCs w:val="20"/>
        </w:rPr>
      </w:pPr>
    </w:p>
    <w:p w14:paraId="5509BEF4" w14:textId="77777777" w:rsidR="00F563F9" w:rsidRDefault="00000000" w:rsidP="00DA2BB5">
      <w:pPr>
        <w:spacing w:line="240" w:lineRule="auto"/>
        <w:rPr>
          <w:rFonts w:ascii="Open Sans" w:eastAsia="Open Sans" w:hAnsi="Open Sans" w:cs="Open Sans"/>
          <w:sz w:val="20"/>
          <w:szCs w:val="20"/>
        </w:rPr>
      </w:pPr>
      <w:r>
        <w:rPr>
          <w:rFonts w:ascii="Open Sans" w:eastAsia="Open Sans" w:hAnsi="Open Sans" w:cs="Open Sans"/>
          <w:sz w:val="20"/>
          <w:szCs w:val="20"/>
        </w:rPr>
        <w:lastRenderedPageBreak/>
        <w:t>In our case, [that criterion includes/those criteria include]:</w:t>
      </w:r>
    </w:p>
    <w:p w14:paraId="71EF7B7E" w14:textId="77777777" w:rsidR="00F563F9" w:rsidRDefault="00F563F9" w:rsidP="00DA2BB5">
      <w:pPr>
        <w:spacing w:line="240" w:lineRule="auto"/>
        <w:rPr>
          <w:rFonts w:ascii="Open Sans" w:eastAsia="Open Sans" w:hAnsi="Open Sans" w:cs="Open Sans"/>
          <w:color w:val="0000FF"/>
          <w:sz w:val="20"/>
          <w:szCs w:val="20"/>
        </w:rPr>
      </w:pPr>
    </w:p>
    <w:p w14:paraId="0B617D59" w14:textId="77777777" w:rsidR="00F563F9" w:rsidRDefault="00000000" w:rsidP="00DA2BB5">
      <w:pPr>
        <w:numPr>
          <w:ilvl w:val="0"/>
          <w:numId w:val="1"/>
        </w:numPr>
        <w:spacing w:line="240" w:lineRule="auto"/>
        <w:rPr>
          <w:rFonts w:ascii="Roboto" w:eastAsia="Roboto" w:hAnsi="Roboto" w:cs="Roboto"/>
          <w:sz w:val="21"/>
          <w:szCs w:val="21"/>
        </w:rPr>
      </w:pPr>
      <w:r>
        <w:rPr>
          <w:rFonts w:ascii="Open Sans" w:eastAsia="Open Sans" w:hAnsi="Open Sans" w:cs="Open Sans"/>
          <w:b/>
          <w:sz w:val="20"/>
          <w:szCs w:val="20"/>
        </w:rPr>
        <w:t>Security</w:t>
      </w:r>
      <w:r>
        <w:rPr>
          <w:rFonts w:ascii="Open Sans" w:eastAsia="Open Sans" w:hAnsi="Open Sans" w:cs="Open Sans"/>
          <w:sz w:val="20"/>
          <w:szCs w:val="20"/>
        </w:rPr>
        <w:t>: The system is protected against unauthorized access (both physical and logical).</w:t>
      </w:r>
    </w:p>
    <w:p w14:paraId="36127A74" w14:textId="77777777" w:rsidR="00F563F9" w:rsidRDefault="00000000" w:rsidP="00DA2BB5">
      <w:pPr>
        <w:numPr>
          <w:ilvl w:val="0"/>
          <w:numId w:val="1"/>
        </w:numPr>
        <w:spacing w:line="240" w:lineRule="auto"/>
        <w:rPr>
          <w:rFonts w:ascii="Roboto" w:eastAsia="Roboto" w:hAnsi="Roboto" w:cs="Roboto"/>
          <w:sz w:val="21"/>
          <w:szCs w:val="21"/>
        </w:rPr>
      </w:pPr>
      <w:r>
        <w:rPr>
          <w:rFonts w:ascii="Open Sans" w:eastAsia="Open Sans" w:hAnsi="Open Sans" w:cs="Open Sans"/>
          <w:b/>
          <w:sz w:val="20"/>
          <w:szCs w:val="20"/>
        </w:rPr>
        <w:t>Availability</w:t>
      </w:r>
      <w:r>
        <w:rPr>
          <w:rFonts w:ascii="Open Sans" w:eastAsia="Open Sans" w:hAnsi="Open Sans" w:cs="Open Sans"/>
          <w:sz w:val="20"/>
          <w:szCs w:val="20"/>
        </w:rPr>
        <w:t>: The system is available for operation and use as committed or agreed.</w:t>
      </w:r>
    </w:p>
    <w:p w14:paraId="7DF073AD" w14:textId="77777777" w:rsidR="00F563F9" w:rsidRDefault="00000000" w:rsidP="00DA2BB5">
      <w:pPr>
        <w:numPr>
          <w:ilvl w:val="0"/>
          <w:numId w:val="1"/>
        </w:numPr>
        <w:spacing w:line="240" w:lineRule="auto"/>
        <w:rPr>
          <w:rFonts w:ascii="Roboto" w:eastAsia="Roboto" w:hAnsi="Roboto" w:cs="Roboto"/>
          <w:sz w:val="21"/>
          <w:szCs w:val="21"/>
        </w:rPr>
      </w:pPr>
      <w:r>
        <w:rPr>
          <w:rFonts w:ascii="Open Sans" w:eastAsia="Open Sans" w:hAnsi="Open Sans" w:cs="Open Sans"/>
          <w:b/>
          <w:sz w:val="20"/>
          <w:szCs w:val="20"/>
        </w:rPr>
        <w:t>Processing Integrity:</w:t>
      </w:r>
      <w:r>
        <w:rPr>
          <w:rFonts w:ascii="Open Sans" w:eastAsia="Open Sans" w:hAnsi="Open Sans" w:cs="Open Sans"/>
          <w:sz w:val="20"/>
          <w:szCs w:val="20"/>
        </w:rPr>
        <w:t xml:space="preserve"> System processing is complete, valid, accurate, timely, and authorized to meet the entity’s objectives.</w:t>
      </w:r>
    </w:p>
    <w:p w14:paraId="0C92B541" w14:textId="77777777" w:rsidR="00F563F9" w:rsidRDefault="00000000" w:rsidP="00DA2BB5">
      <w:pPr>
        <w:numPr>
          <w:ilvl w:val="0"/>
          <w:numId w:val="1"/>
        </w:numPr>
        <w:spacing w:line="240" w:lineRule="auto"/>
        <w:rPr>
          <w:rFonts w:ascii="Roboto" w:eastAsia="Roboto" w:hAnsi="Roboto" w:cs="Roboto"/>
          <w:sz w:val="21"/>
          <w:szCs w:val="21"/>
        </w:rPr>
      </w:pPr>
      <w:r>
        <w:rPr>
          <w:rFonts w:ascii="Open Sans" w:eastAsia="Open Sans" w:hAnsi="Open Sans" w:cs="Open Sans"/>
          <w:b/>
          <w:sz w:val="20"/>
          <w:szCs w:val="20"/>
        </w:rPr>
        <w:t>Confidentiality</w:t>
      </w:r>
      <w:r>
        <w:rPr>
          <w:rFonts w:ascii="Open Sans" w:eastAsia="Open Sans" w:hAnsi="Open Sans" w:cs="Open Sans"/>
          <w:sz w:val="20"/>
          <w:szCs w:val="20"/>
        </w:rPr>
        <w:t>: Information designated as confidential is protected as committed or agreed.</w:t>
      </w:r>
    </w:p>
    <w:p w14:paraId="73402666" w14:textId="77777777" w:rsidR="00F563F9" w:rsidRDefault="00000000" w:rsidP="00DA2BB5">
      <w:pPr>
        <w:numPr>
          <w:ilvl w:val="0"/>
          <w:numId w:val="1"/>
        </w:numPr>
        <w:spacing w:line="240" w:lineRule="auto"/>
        <w:rPr>
          <w:rFonts w:ascii="Roboto" w:eastAsia="Roboto" w:hAnsi="Roboto" w:cs="Roboto"/>
          <w:sz w:val="21"/>
          <w:szCs w:val="21"/>
        </w:rPr>
      </w:pPr>
      <w:r>
        <w:rPr>
          <w:rFonts w:ascii="Open Sans" w:eastAsia="Open Sans" w:hAnsi="Open Sans" w:cs="Open Sans"/>
          <w:b/>
          <w:sz w:val="20"/>
          <w:szCs w:val="20"/>
        </w:rPr>
        <w:t xml:space="preserve">Privacy: </w:t>
      </w:r>
      <w:r>
        <w:rPr>
          <w:rFonts w:ascii="Open Sans" w:eastAsia="Open Sans" w:hAnsi="Open Sans" w:cs="Open Sans"/>
          <w:sz w:val="20"/>
          <w:szCs w:val="20"/>
        </w:rPr>
        <w:t>Personal information is collected, used, retained, disclosed, and disposed of to meet the entity’s objectives.</w:t>
      </w:r>
    </w:p>
    <w:p w14:paraId="7F0E0233" w14:textId="77777777" w:rsidR="00F563F9" w:rsidRDefault="00F563F9" w:rsidP="00DA2BB5">
      <w:pPr>
        <w:spacing w:line="240" w:lineRule="auto"/>
        <w:rPr>
          <w:rFonts w:ascii="Open Sans" w:eastAsia="Open Sans" w:hAnsi="Open Sans" w:cs="Open Sans"/>
          <w:b/>
          <w:sz w:val="20"/>
          <w:szCs w:val="20"/>
        </w:rPr>
      </w:pPr>
    </w:p>
    <w:p w14:paraId="57775523" w14:textId="77777777" w:rsidR="00F563F9" w:rsidRDefault="00000000" w:rsidP="00DA2BB5">
      <w:pPr>
        <w:spacing w:line="240" w:lineRule="auto"/>
        <w:rPr>
          <w:rFonts w:ascii="Open Sans" w:eastAsia="Open Sans" w:hAnsi="Open Sans" w:cs="Open Sans"/>
          <w:sz w:val="20"/>
          <w:szCs w:val="20"/>
        </w:rPr>
      </w:pPr>
      <w:r>
        <w:rPr>
          <w:rFonts w:ascii="Open Sans" w:eastAsia="Open Sans" w:hAnsi="Open Sans" w:cs="Open Sans"/>
          <w:sz w:val="20"/>
          <w:szCs w:val="20"/>
        </w:rPr>
        <w:t xml:space="preserve">The </w:t>
      </w:r>
      <w:hyperlink r:id="rId8">
        <w:r>
          <w:rPr>
            <w:rFonts w:ascii="Open Sans" w:eastAsia="Open Sans" w:hAnsi="Open Sans" w:cs="Open Sans"/>
            <w:color w:val="1155CC"/>
            <w:sz w:val="20"/>
            <w:szCs w:val="20"/>
            <w:u w:val="single"/>
          </w:rPr>
          <w:t>scope of a SOC report can also vary</w:t>
        </w:r>
      </w:hyperlink>
      <w:r>
        <w:rPr>
          <w:rFonts w:ascii="Open Sans" w:eastAsia="Open Sans" w:hAnsi="Open Sans" w:cs="Open Sans"/>
          <w:sz w:val="20"/>
          <w:szCs w:val="20"/>
        </w:rPr>
        <w:t xml:space="preserve"> with regard to the time period covered. SOC 2 Type II reports examine controls over a period of time, usually between three and 12 months, and include both a list of the controls tested as well as the auditor’s test results. </w:t>
      </w:r>
    </w:p>
    <w:p w14:paraId="180A0E3D" w14:textId="77777777" w:rsidR="00F563F9" w:rsidRDefault="00F563F9" w:rsidP="00DA2BB5">
      <w:pPr>
        <w:spacing w:line="240" w:lineRule="auto"/>
        <w:rPr>
          <w:rFonts w:ascii="Open Sans" w:eastAsia="Open Sans" w:hAnsi="Open Sans" w:cs="Open Sans"/>
          <w:sz w:val="20"/>
          <w:szCs w:val="20"/>
        </w:rPr>
      </w:pPr>
    </w:p>
    <w:p w14:paraId="54D0EA90" w14:textId="77777777" w:rsidR="00F563F9" w:rsidRDefault="00000000" w:rsidP="00DA2BB5">
      <w:pPr>
        <w:spacing w:line="240" w:lineRule="auto"/>
        <w:rPr>
          <w:rFonts w:ascii="Open Sans" w:eastAsia="Open Sans" w:hAnsi="Open Sans" w:cs="Open Sans"/>
          <w:b/>
          <w:sz w:val="20"/>
          <w:szCs w:val="20"/>
        </w:rPr>
      </w:pPr>
      <w:r>
        <w:rPr>
          <w:rFonts w:ascii="Open Sans" w:eastAsia="Open Sans" w:hAnsi="Open Sans" w:cs="Open Sans"/>
          <w:sz w:val="20"/>
          <w:szCs w:val="20"/>
        </w:rPr>
        <w:t>The reporting period for [COMPANY NAME]’s latest SOC 2 and SOC 3 reports spanned from [DATE] to [DATE].</w:t>
      </w:r>
    </w:p>
    <w:p w14:paraId="6DC37D30" w14:textId="77777777" w:rsidR="00F563F9" w:rsidRDefault="00F563F9" w:rsidP="00DA2BB5">
      <w:pPr>
        <w:pStyle w:val="Heading2"/>
        <w:spacing w:line="240" w:lineRule="auto"/>
      </w:pPr>
      <w:bookmarkStart w:id="3" w:name="_1be7tix38sv" w:colFirst="0" w:colLast="0"/>
      <w:bookmarkEnd w:id="3"/>
    </w:p>
    <w:p w14:paraId="7FA68355" w14:textId="77777777" w:rsidR="00F563F9" w:rsidRDefault="00000000" w:rsidP="00DA2BB5">
      <w:pPr>
        <w:pStyle w:val="Heading2"/>
        <w:spacing w:line="240" w:lineRule="auto"/>
      </w:pPr>
      <w:bookmarkStart w:id="4" w:name="_coegmexsw9vg" w:colFirst="0" w:colLast="0"/>
      <w:bookmarkEnd w:id="4"/>
      <w:r>
        <w:t>WHY DID WE UNDERGO THIS EXAM?</w:t>
      </w:r>
    </w:p>
    <w:p w14:paraId="32095F79" w14:textId="77777777" w:rsidR="00F563F9" w:rsidRDefault="00F563F9" w:rsidP="00DA2BB5">
      <w:pPr>
        <w:spacing w:line="240" w:lineRule="auto"/>
        <w:rPr>
          <w:rFonts w:ascii="Open Sans" w:eastAsia="Open Sans" w:hAnsi="Open Sans" w:cs="Open Sans"/>
          <w:sz w:val="20"/>
          <w:szCs w:val="20"/>
        </w:rPr>
      </w:pPr>
    </w:p>
    <w:p w14:paraId="2CA067B8" w14:textId="77777777" w:rsidR="00F563F9" w:rsidRDefault="00000000" w:rsidP="00DA2BB5">
      <w:pPr>
        <w:spacing w:line="240" w:lineRule="auto"/>
        <w:rPr>
          <w:rFonts w:ascii="Open Sans" w:eastAsia="Open Sans" w:hAnsi="Open Sans" w:cs="Open Sans"/>
          <w:sz w:val="20"/>
          <w:szCs w:val="20"/>
        </w:rPr>
      </w:pPr>
      <w:r>
        <w:rPr>
          <w:rFonts w:ascii="Open Sans" w:eastAsia="Open Sans" w:hAnsi="Open Sans" w:cs="Open Sans"/>
          <w:sz w:val="20"/>
          <w:szCs w:val="20"/>
        </w:rPr>
        <w:t xml:space="preserve">Receiving our SOC 2 and SOC 3 reports marks a huge step forward in [COMPANY NAME]’s efforts to demonstrate our commitment to data security and ensure that we’re prepared to face the challenges of the ever-changing cybersecurity landscape. </w:t>
      </w:r>
    </w:p>
    <w:p w14:paraId="20B7D19E" w14:textId="77777777" w:rsidR="00F563F9" w:rsidRDefault="00F563F9" w:rsidP="00DA2BB5">
      <w:pPr>
        <w:spacing w:line="240" w:lineRule="auto"/>
        <w:rPr>
          <w:rFonts w:ascii="Open Sans" w:eastAsia="Open Sans" w:hAnsi="Open Sans" w:cs="Open Sans"/>
          <w:sz w:val="20"/>
          <w:szCs w:val="20"/>
        </w:rPr>
      </w:pPr>
    </w:p>
    <w:p w14:paraId="46F150B9" w14:textId="77777777" w:rsidR="00F563F9" w:rsidRDefault="00000000" w:rsidP="00DA2BB5">
      <w:pPr>
        <w:spacing w:line="240" w:lineRule="auto"/>
        <w:rPr>
          <w:rFonts w:ascii="Open Sans" w:eastAsia="Open Sans" w:hAnsi="Open Sans" w:cs="Open Sans"/>
          <w:sz w:val="20"/>
          <w:szCs w:val="20"/>
        </w:rPr>
      </w:pPr>
      <w:r>
        <w:rPr>
          <w:rFonts w:ascii="Open Sans" w:eastAsia="Open Sans" w:hAnsi="Open Sans" w:cs="Open Sans"/>
          <w:sz w:val="20"/>
          <w:szCs w:val="20"/>
        </w:rPr>
        <w:t>“We are pleased that our SOC 2 and SOC 3 reports have shown we have the appropriate controls in place to mitigate risks related to [INSERT APPLICABLE TRUST SERVICES CRITERIA],” said [COMPANY REPRESENTATIVE NAME AND TITLE]. “[INSERT EXPLANATION OF WHY RELEVANT PRINCIPLES ARE IMPORTANT TO YOUR ORGANIZATION].”</w:t>
      </w:r>
    </w:p>
    <w:p w14:paraId="32B29722" w14:textId="77777777" w:rsidR="00F563F9" w:rsidRDefault="00F563F9" w:rsidP="00DA2BB5">
      <w:pPr>
        <w:spacing w:line="240" w:lineRule="auto"/>
        <w:rPr>
          <w:rFonts w:ascii="Open Sans" w:eastAsia="Open Sans" w:hAnsi="Open Sans" w:cs="Open Sans"/>
          <w:sz w:val="20"/>
          <w:szCs w:val="20"/>
          <w:highlight w:val="cyan"/>
        </w:rPr>
      </w:pPr>
    </w:p>
    <w:p w14:paraId="085CC999" w14:textId="77777777" w:rsidR="00F563F9" w:rsidRDefault="00000000" w:rsidP="00DA2BB5">
      <w:pPr>
        <w:pStyle w:val="Heading2"/>
        <w:spacing w:line="240" w:lineRule="auto"/>
      </w:pPr>
      <w:bookmarkStart w:id="5" w:name="_5u5avflmedfd" w:colFirst="0" w:colLast="0"/>
      <w:bookmarkEnd w:id="5"/>
      <w:r>
        <w:t>WHERE CAN I GO FOR MORE INFORMATION?</w:t>
      </w:r>
    </w:p>
    <w:p w14:paraId="6AAEA8AE" w14:textId="77777777" w:rsidR="00F563F9" w:rsidRDefault="00F563F9" w:rsidP="00DA2BB5">
      <w:pPr>
        <w:spacing w:line="240" w:lineRule="auto"/>
        <w:rPr>
          <w:rFonts w:ascii="Open Sans" w:eastAsia="Open Sans" w:hAnsi="Open Sans" w:cs="Open Sans"/>
          <w:sz w:val="20"/>
          <w:szCs w:val="20"/>
        </w:rPr>
      </w:pPr>
    </w:p>
    <w:p w14:paraId="4989FA98" w14:textId="77777777" w:rsidR="00F563F9" w:rsidRDefault="00000000" w:rsidP="00DA2BB5">
      <w:pPr>
        <w:spacing w:line="240" w:lineRule="auto"/>
        <w:rPr>
          <w:rFonts w:ascii="Open Sans" w:eastAsia="Open Sans" w:hAnsi="Open Sans" w:cs="Open Sans"/>
          <w:sz w:val="20"/>
          <w:szCs w:val="20"/>
        </w:rPr>
      </w:pPr>
      <w:r>
        <w:rPr>
          <w:rFonts w:ascii="Open Sans" w:eastAsia="Open Sans" w:hAnsi="Open Sans" w:cs="Open Sans"/>
          <w:sz w:val="20"/>
          <w:szCs w:val="20"/>
        </w:rPr>
        <w:t xml:space="preserve">Our auditing partner, </w:t>
      </w:r>
      <w:hyperlink r:id="rId9">
        <w:r>
          <w:rPr>
            <w:rFonts w:ascii="Open Sans" w:eastAsia="Open Sans" w:hAnsi="Open Sans" w:cs="Open Sans"/>
            <w:color w:val="1155CC"/>
            <w:sz w:val="20"/>
            <w:szCs w:val="20"/>
            <w:u w:val="single"/>
          </w:rPr>
          <w:t>BARR Advisory</w:t>
        </w:r>
      </w:hyperlink>
      <w:r>
        <w:rPr>
          <w:rFonts w:ascii="Open Sans" w:eastAsia="Open Sans" w:hAnsi="Open Sans" w:cs="Open Sans"/>
          <w:sz w:val="20"/>
          <w:szCs w:val="20"/>
        </w:rPr>
        <w:t xml:space="preserve">, has provided a </w:t>
      </w:r>
      <w:hyperlink r:id="rId10">
        <w:r>
          <w:rPr>
            <w:rFonts w:ascii="Open Sans" w:eastAsia="Open Sans" w:hAnsi="Open Sans" w:cs="Open Sans"/>
            <w:color w:val="1155CC"/>
            <w:sz w:val="20"/>
            <w:szCs w:val="20"/>
            <w:u w:val="single"/>
          </w:rPr>
          <w:t>comprehensive overview of the different types of SOC examinations</w:t>
        </w:r>
      </w:hyperlink>
      <w:r>
        <w:rPr>
          <w:rFonts w:ascii="Open Sans" w:eastAsia="Open Sans" w:hAnsi="Open Sans" w:cs="Open Sans"/>
          <w:sz w:val="20"/>
          <w:szCs w:val="20"/>
        </w:rPr>
        <w:t xml:space="preserve"> and their unique requirements for cloud service organizations.</w:t>
      </w:r>
    </w:p>
    <w:p w14:paraId="4D5F7BD3" w14:textId="77777777" w:rsidR="00F563F9" w:rsidRDefault="00F563F9" w:rsidP="00DA2BB5">
      <w:pPr>
        <w:spacing w:line="240" w:lineRule="auto"/>
        <w:rPr>
          <w:rFonts w:ascii="Open Sans" w:eastAsia="Open Sans" w:hAnsi="Open Sans" w:cs="Open Sans"/>
          <w:sz w:val="20"/>
          <w:szCs w:val="20"/>
        </w:rPr>
      </w:pPr>
    </w:p>
    <w:p w14:paraId="631E28FD" w14:textId="77777777" w:rsidR="00F563F9" w:rsidRDefault="00000000" w:rsidP="00DA2BB5">
      <w:pPr>
        <w:spacing w:line="240" w:lineRule="auto"/>
        <w:rPr>
          <w:rFonts w:ascii="Open Sans" w:eastAsia="Open Sans" w:hAnsi="Open Sans" w:cs="Open Sans"/>
          <w:color w:val="FF00FF"/>
          <w:sz w:val="20"/>
          <w:szCs w:val="20"/>
        </w:rPr>
      </w:pPr>
      <w:r>
        <w:rPr>
          <w:rFonts w:ascii="Open Sans" w:eastAsia="Open Sans" w:hAnsi="Open Sans" w:cs="Open Sans"/>
          <w:sz w:val="20"/>
          <w:szCs w:val="20"/>
        </w:rPr>
        <w:t>Current and prospective customers interested in obtaining a copy of [COMPANY NAME]’s latest SOC 2 Type II or SOC 3 reports may contact [NAME] at [PHONE/EMAIL].</w:t>
      </w:r>
    </w:p>
    <w:sectPr w:rsidR="00F563F9">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51E4" w14:textId="77777777" w:rsidR="00A83373" w:rsidRDefault="00A83373">
      <w:pPr>
        <w:spacing w:line="240" w:lineRule="auto"/>
      </w:pPr>
      <w:r>
        <w:separator/>
      </w:r>
    </w:p>
  </w:endnote>
  <w:endnote w:type="continuationSeparator" w:id="0">
    <w:p w14:paraId="00802AD3" w14:textId="77777777" w:rsidR="00A83373" w:rsidRDefault="00A83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7434" w14:textId="77777777" w:rsidR="00A83373" w:rsidRDefault="00A83373">
      <w:pPr>
        <w:spacing w:line="240" w:lineRule="auto"/>
      </w:pPr>
      <w:r>
        <w:separator/>
      </w:r>
    </w:p>
  </w:footnote>
  <w:footnote w:type="continuationSeparator" w:id="0">
    <w:p w14:paraId="756C2FA8" w14:textId="77777777" w:rsidR="00A83373" w:rsidRDefault="00A833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66B6" w14:textId="77777777" w:rsidR="00F563F9" w:rsidRDefault="00000000">
    <w:r>
      <w:rPr>
        <w:noProof/>
      </w:rPr>
      <w:drawing>
        <wp:anchor distT="114300" distB="114300" distL="114300" distR="114300" simplePos="0" relativeHeight="251658240" behindDoc="0" locked="0" layoutInCell="1" hidden="0" allowOverlap="1" wp14:anchorId="52120C84" wp14:editId="197717B8">
          <wp:simplePos x="0" y="0"/>
          <wp:positionH relativeFrom="column">
            <wp:posOffset>4962525</wp:posOffset>
          </wp:positionH>
          <wp:positionV relativeFrom="paragraph">
            <wp:posOffset>228600</wp:posOffset>
          </wp:positionV>
          <wp:extent cx="1442041" cy="4429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833" t="-13333" r="-10075" b="-22222"/>
                  <a:stretch>
                    <a:fillRect/>
                  </a:stretch>
                </pic:blipFill>
                <pic:spPr>
                  <a:xfrm>
                    <a:off x="0" y="0"/>
                    <a:ext cx="1442041" cy="442913"/>
                  </a:xfrm>
                  <a:prstGeom prst="rect">
                    <a:avLst/>
                  </a:prstGeom>
                  <a:ln/>
                </pic:spPr>
              </pic:pic>
            </a:graphicData>
          </a:graphic>
        </wp:anchor>
      </w:drawing>
    </w:r>
  </w:p>
  <w:p w14:paraId="38510BA4" w14:textId="77777777" w:rsidR="00F563F9" w:rsidRDefault="00F563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21177"/>
    <w:multiLevelType w:val="multilevel"/>
    <w:tmpl w:val="60749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332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F9"/>
    <w:rsid w:val="00A83373"/>
    <w:rsid w:val="00DA2BB5"/>
    <w:rsid w:val="00F5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0CE6F"/>
  <w15:docId w15:val="{A9E3163E-5A46-E143-B421-F623B1A3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rFonts w:ascii="Open Sans" w:eastAsia="Open Sans" w:hAnsi="Open Sans" w:cs="Open Sans"/>
      <w:b/>
      <w:sz w:val="20"/>
      <w:szCs w:val="20"/>
    </w:rPr>
  </w:style>
  <w:style w:type="paragraph" w:styleId="Heading2">
    <w:name w:val="heading 2"/>
    <w:basedOn w:val="Normal"/>
    <w:next w:val="Normal"/>
    <w:uiPriority w:val="9"/>
    <w:unhideWhenUsed/>
    <w:qFormat/>
    <w:pPr>
      <w:keepNext/>
      <w:keepLines/>
      <w:outlineLvl w:val="1"/>
    </w:pPr>
    <w:rPr>
      <w:rFonts w:ascii="Open Sans" w:eastAsia="Open Sans" w:hAnsi="Open Sans" w:cs="Open Sans"/>
      <w:b/>
      <w:sz w:val="20"/>
      <w:szCs w:val="20"/>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rradvisory.com/blog/sections-of-a-soc-2-re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icpa-cima.com/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arradvisory.com/wp-content/uploads/2023/01/A-Complete-Guide-to-SOC-Examinations-A-Proven-Process-.pdf" TargetMode="External"/><Relationship Id="rId4" Type="http://schemas.openxmlformats.org/officeDocument/2006/relationships/webSettings" Target="webSettings.xml"/><Relationship Id="rId9" Type="http://schemas.openxmlformats.org/officeDocument/2006/relationships/hyperlink" Target="http://barradviso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Rawlings</cp:lastModifiedBy>
  <cp:revision>2</cp:revision>
  <dcterms:created xsi:type="dcterms:W3CDTF">2023-06-05T18:54:00Z</dcterms:created>
  <dcterms:modified xsi:type="dcterms:W3CDTF">2023-06-05T18:54:00Z</dcterms:modified>
</cp:coreProperties>
</file>