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3E93" w14:textId="77777777" w:rsidR="00955AC2" w:rsidRDefault="00000000" w:rsidP="00C64C52">
      <w:pPr>
        <w:pStyle w:val="Heading4"/>
        <w:spacing w:before="160" w:after="0"/>
        <w:rPr>
          <w:color w:val="FF0000"/>
        </w:rPr>
      </w:pPr>
      <w:bookmarkStart w:id="0" w:name="_l7g26m73so6g" w:colFirst="0" w:colLast="0"/>
      <w:bookmarkEnd w:id="0"/>
      <w:r>
        <w:rPr>
          <w:color w:val="FF0000"/>
        </w:rPr>
        <w:t>SAMPLE — PLEASE UPDATE ACCORDING TO YOUR APPLICABLE TRUST SERVICES CRITERIA AND COMPANY REPRESENTATIVE QUOTE</w:t>
      </w:r>
    </w:p>
    <w:p w14:paraId="15E07328" w14:textId="77777777" w:rsidR="00955AC2" w:rsidRDefault="00955AC2" w:rsidP="00C64C52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</w:p>
    <w:p w14:paraId="5EAE92A2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FOR IMMEDIATE RELEASE</w:t>
      </w:r>
    </w:p>
    <w:p w14:paraId="6A3C272B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[Month Day, Year]</w:t>
      </w:r>
    </w:p>
    <w:p w14:paraId="20B7800E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[Company Media Contact]</w:t>
      </w:r>
    </w:p>
    <w:p w14:paraId="3AB84DFC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4B949F87" w14:textId="77777777" w:rsidR="00955AC2" w:rsidRDefault="00000000" w:rsidP="00C64C52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[Company Name] Maintains Effective Security Controls According to Recent SOC 2 </w:t>
      </w:r>
      <w:r>
        <w:rPr>
          <w:rFonts w:ascii="Open Sans" w:eastAsia="Open Sans" w:hAnsi="Open Sans" w:cs="Open Sans"/>
          <w:b/>
          <w:sz w:val="20"/>
          <w:szCs w:val="20"/>
        </w:rPr>
        <w:br/>
        <w:t>and SOC 3 Reports</w:t>
      </w:r>
    </w:p>
    <w:p w14:paraId="1FB8D5DC" w14:textId="77777777" w:rsidR="00955AC2" w:rsidRDefault="00000000" w:rsidP="00C64C52">
      <w:pPr>
        <w:spacing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10F12E45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[City, State] – [DATE]</w:t>
      </w:r>
      <w:r>
        <w:rPr>
          <w:rFonts w:ascii="Open Sans" w:eastAsia="Open Sans" w:hAnsi="Open Sans" w:cs="Open Sans"/>
          <w:sz w:val="20"/>
          <w:szCs w:val="20"/>
        </w:rPr>
        <w:t xml:space="preserve"> – Today, </w:t>
      </w:r>
      <w:r>
        <w:rPr>
          <w:rFonts w:ascii="Open Sans" w:eastAsia="Open Sans" w:hAnsi="Open Sans" w:cs="Open Sans"/>
          <w:i/>
          <w:sz w:val="20"/>
          <w:szCs w:val="20"/>
        </w:rPr>
        <w:t>[Company Name]</w:t>
      </w:r>
      <w:r>
        <w:rPr>
          <w:rFonts w:ascii="Open Sans" w:eastAsia="Open Sans" w:hAnsi="Open Sans" w:cs="Open Sans"/>
          <w:sz w:val="20"/>
          <w:szCs w:val="20"/>
        </w:rPr>
        <w:t xml:space="preserve"> announced that the company has undergone a System and Organization Controls (SOC) 2 examination and a SOC 3 examination, each resulting in a CPA’s report stating that management of </w:t>
      </w:r>
      <w:r>
        <w:rPr>
          <w:rFonts w:ascii="Open Sans" w:eastAsia="Open Sans" w:hAnsi="Open Sans" w:cs="Open Sans"/>
          <w:i/>
          <w:sz w:val="20"/>
          <w:szCs w:val="20"/>
        </w:rPr>
        <w:t>[Company Name]</w:t>
      </w:r>
      <w:r>
        <w:rPr>
          <w:rFonts w:ascii="Open Sans" w:eastAsia="Open Sans" w:hAnsi="Open Sans" w:cs="Open Sans"/>
          <w:sz w:val="20"/>
          <w:szCs w:val="20"/>
        </w:rPr>
        <w:t xml:space="preserve"> maintained effective controls over the </w:t>
      </w:r>
      <w:r>
        <w:rPr>
          <w:rFonts w:ascii="Open Sans" w:eastAsia="Open Sans" w:hAnsi="Open Sans" w:cs="Open Sans"/>
          <w:i/>
          <w:sz w:val="20"/>
          <w:szCs w:val="20"/>
        </w:rPr>
        <w:t>[insert applicable trust services criteria: security, availability, processing integrity, confidentiality, and privacy]</w:t>
      </w:r>
      <w:r>
        <w:rPr>
          <w:rFonts w:ascii="Open Sans" w:eastAsia="Open Sans" w:hAnsi="Open Sans" w:cs="Open Sans"/>
          <w:sz w:val="20"/>
          <w:szCs w:val="20"/>
        </w:rPr>
        <w:t xml:space="preserve"> of its </w:t>
      </w:r>
      <w:r>
        <w:rPr>
          <w:rFonts w:ascii="Open Sans" w:eastAsia="Open Sans" w:hAnsi="Open Sans" w:cs="Open Sans"/>
          <w:i/>
          <w:sz w:val="20"/>
          <w:szCs w:val="20"/>
        </w:rPr>
        <w:t>[name of system]</w:t>
      </w:r>
      <w:r>
        <w:rPr>
          <w:rFonts w:ascii="Open Sans" w:eastAsia="Open Sans" w:hAnsi="Open Sans" w:cs="Open Sans"/>
          <w:sz w:val="20"/>
          <w:szCs w:val="20"/>
        </w:rPr>
        <w:t xml:space="preserve"> system. The engagements were performed by</w:t>
      </w:r>
      <w:hyperlink r:id="rId7">
        <w:r>
          <w:rPr>
            <w:rFonts w:ascii="Open Sans" w:eastAsia="Open Sans" w:hAnsi="Open Sans" w:cs="Open Sans"/>
            <w:sz w:val="20"/>
            <w:szCs w:val="20"/>
          </w:rPr>
          <w:t xml:space="preserve"> </w:t>
        </w:r>
      </w:hyperlink>
      <w:hyperlink r:id="rId8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BARR Advisory, P.A.</w:t>
        </w:r>
      </w:hyperlink>
    </w:p>
    <w:p w14:paraId="0F88BC46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BAB8D8B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 SOC 2</w:t>
      </w:r>
      <w:r>
        <w:rPr>
          <w:rFonts w:ascii="Open Sans" w:eastAsia="Open Sans" w:hAnsi="Open Sans" w:cs="Open Sans"/>
          <w:sz w:val="20"/>
          <w:szCs w:val="20"/>
          <w:vertAlign w:val="superscript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 xml:space="preserve">report is designed to meet the needs of existing or potential customers who need assurance about the effectiveness of controls used by the service organization to process customers’ information. A SOC 3 report is similar in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scope, but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is shorter and allows for more general distribution.</w:t>
      </w:r>
    </w:p>
    <w:p w14:paraId="4F61C53E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74D8BAC1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“We are pleased that our SOC 2 and SOC 3 reports have shown we have the appropriate controls in place to mitigate risks related to </w:t>
      </w:r>
      <w:r>
        <w:rPr>
          <w:rFonts w:ascii="Open Sans" w:eastAsia="Open Sans" w:hAnsi="Open Sans" w:cs="Open Sans"/>
          <w:i/>
          <w:sz w:val="20"/>
          <w:szCs w:val="20"/>
        </w:rPr>
        <w:t>[insert applicable trust services criteria: security, availability, processing integrity, confidentiality, and privacy]</w:t>
      </w:r>
      <w:r>
        <w:rPr>
          <w:rFonts w:ascii="Open Sans" w:eastAsia="Open Sans" w:hAnsi="Open Sans" w:cs="Open Sans"/>
          <w:sz w:val="20"/>
          <w:szCs w:val="20"/>
        </w:rPr>
        <w:t>, along with HIPAA Security Rule requirements,” said [</w:t>
      </w:r>
      <w:r>
        <w:rPr>
          <w:rFonts w:ascii="Open Sans" w:eastAsia="Open Sans" w:hAnsi="Open Sans" w:cs="Open Sans"/>
          <w:i/>
          <w:sz w:val="20"/>
          <w:szCs w:val="20"/>
        </w:rPr>
        <w:t>Insert name of company representative and title</w:t>
      </w:r>
      <w:r>
        <w:rPr>
          <w:rFonts w:ascii="Open Sans" w:eastAsia="Open Sans" w:hAnsi="Open Sans" w:cs="Open Sans"/>
          <w:sz w:val="20"/>
          <w:szCs w:val="20"/>
        </w:rPr>
        <w:t>]. “</w:t>
      </w:r>
      <w:r>
        <w:rPr>
          <w:rFonts w:ascii="Open Sans" w:eastAsia="Open Sans" w:hAnsi="Open Sans" w:cs="Open Sans"/>
          <w:i/>
          <w:sz w:val="20"/>
          <w:szCs w:val="20"/>
        </w:rPr>
        <w:t>[Insert explanation of why relevant principles are important to company business and client].”</w:t>
      </w:r>
    </w:p>
    <w:p w14:paraId="39817925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3711642C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The following principles and related criteria have been developed by the American Institute of CPAs (AICPA) for use by practitioners in the performance of trust services engagements:</w:t>
      </w:r>
    </w:p>
    <w:p w14:paraId="313CBCC2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22230FA" w14:textId="77777777" w:rsidR="00955AC2" w:rsidRDefault="00000000" w:rsidP="00C64C52">
      <w:pPr>
        <w:numPr>
          <w:ilvl w:val="0"/>
          <w:numId w:val="2"/>
        </w:num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b/>
          <w:i/>
          <w:sz w:val="20"/>
          <w:szCs w:val="20"/>
        </w:rPr>
        <w:t>Security</w:t>
      </w:r>
      <w:r>
        <w:rPr>
          <w:rFonts w:ascii="Open Sans" w:eastAsia="Open Sans" w:hAnsi="Open Sans" w:cs="Open Sans"/>
          <w:i/>
          <w:sz w:val="20"/>
          <w:szCs w:val="20"/>
        </w:rPr>
        <w:t>: The system is protected against unauthorized access (both physical and logical).</w:t>
      </w:r>
    </w:p>
    <w:p w14:paraId="74BD99C5" w14:textId="77777777" w:rsidR="00955AC2" w:rsidRDefault="00000000" w:rsidP="00C64C52">
      <w:pPr>
        <w:numPr>
          <w:ilvl w:val="0"/>
          <w:numId w:val="2"/>
        </w:num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b/>
          <w:i/>
          <w:sz w:val="20"/>
          <w:szCs w:val="20"/>
        </w:rPr>
        <w:t>Availability</w:t>
      </w:r>
      <w:r>
        <w:rPr>
          <w:rFonts w:ascii="Open Sans" w:eastAsia="Open Sans" w:hAnsi="Open Sans" w:cs="Open Sans"/>
          <w:i/>
          <w:sz w:val="20"/>
          <w:szCs w:val="20"/>
        </w:rPr>
        <w:t>: The system is available for operation and use as committed or agreed.</w:t>
      </w:r>
    </w:p>
    <w:p w14:paraId="28C10831" w14:textId="77777777" w:rsidR="00955AC2" w:rsidRDefault="00000000" w:rsidP="00C64C52">
      <w:pPr>
        <w:numPr>
          <w:ilvl w:val="0"/>
          <w:numId w:val="2"/>
        </w:num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b/>
          <w:i/>
          <w:sz w:val="20"/>
          <w:szCs w:val="20"/>
        </w:rPr>
        <w:t>Processing Integrity:</w:t>
      </w:r>
      <w:r>
        <w:rPr>
          <w:rFonts w:ascii="Open Sans" w:eastAsia="Open Sans" w:hAnsi="Open Sans" w:cs="Open Sans"/>
          <w:i/>
          <w:sz w:val="20"/>
          <w:szCs w:val="20"/>
        </w:rPr>
        <w:t xml:space="preserve"> System processing is complete, valid, accurate, timely, and authorized to meet the entity’s objectives.</w:t>
      </w:r>
    </w:p>
    <w:p w14:paraId="10640051" w14:textId="77777777" w:rsidR="00955AC2" w:rsidRDefault="00000000" w:rsidP="00C64C52">
      <w:pPr>
        <w:numPr>
          <w:ilvl w:val="0"/>
          <w:numId w:val="2"/>
        </w:num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b/>
          <w:i/>
          <w:sz w:val="20"/>
          <w:szCs w:val="20"/>
        </w:rPr>
        <w:t>Confidentiality</w:t>
      </w:r>
      <w:r>
        <w:rPr>
          <w:rFonts w:ascii="Open Sans" w:eastAsia="Open Sans" w:hAnsi="Open Sans" w:cs="Open Sans"/>
          <w:i/>
          <w:sz w:val="20"/>
          <w:szCs w:val="20"/>
        </w:rPr>
        <w:t>: Information designated as confidential is protected as committed or agreed.</w:t>
      </w:r>
    </w:p>
    <w:p w14:paraId="676CE5F6" w14:textId="77777777" w:rsidR="00955AC2" w:rsidRDefault="00000000" w:rsidP="00C64C52">
      <w:pPr>
        <w:numPr>
          <w:ilvl w:val="0"/>
          <w:numId w:val="2"/>
        </w:num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b/>
          <w:i/>
          <w:sz w:val="20"/>
          <w:szCs w:val="20"/>
        </w:rPr>
        <w:t xml:space="preserve">Privacy: </w:t>
      </w:r>
      <w:r>
        <w:rPr>
          <w:rFonts w:ascii="Open Sans" w:eastAsia="Open Sans" w:hAnsi="Open Sans" w:cs="Open Sans"/>
          <w:i/>
          <w:sz w:val="20"/>
          <w:szCs w:val="20"/>
        </w:rPr>
        <w:t>Personal information is collected, used, retained, disclosed, and disposed of to meet the entity’s objectives.</w:t>
      </w:r>
    </w:p>
    <w:p w14:paraId="57BEF398" w14:textId="77777777" w:rsidR="00955AC2" w:rsidRDefault="00000000" w:rsidP="00C64C52">
      <w:pPr>
        <w:numPr>
          <w:ilvl w:val="0"/>
          <w:numId w:val="2"/>
        </w:num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b/>
          <w:i/>
          <w:sz w:val="20"/>
          <w:szCs w:val="20"/>
        </w:rPr>
        <w:t>HIPAA Security Rule Requirements</w:t>
      </w:r>
      <w:r>
        <w:rPr>
          <w:rFonts w:ascii="Open Sans" w:eastAsia="Open Sans" w:hAnsi="Open Sans" w:cs="Open Sans"/>
          <w:i/>
          <w:sz w:val="20"/>
          <w:szCs w:val="20"/>
        </w:rPr>
        <w:t>: The system is compliant with the applicable HIPAA Security Rule requirements set forth in the U.S. Department of Health and Human Services’ (HHS) Health Information Portability and Accountability Act.</w:t>
      </w:r>
    </w:p>
    <w:p w14:paraId="5393F744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074FCB76" w14:textId="041AE58C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 SOC 2 report is an internal control report on the services provided by a service organization to its customers and provides valuable information that existing and potential customers of the service organization need to assess and address the risks associated with an outsourced service.</w:t>
      </w:r>
    </w:p>
    <w:p w14:paraId="667DEAB9" w14:textId="77777777" w:rsidR="00C64C52" w:rsidRDefault="00C64C52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1B3D150F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>A SOC 3 report is a public-facing report for general use that communicates that an organization’s controls are properly designed and implemented and operating effectively.</w:t>
      </w:r>
    </w:p>
    <w:p w14:paraId="115D93DA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4DFDDCE6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Current and prospective customers interested in a copy of our SOC 2 or SOC 3 reports may contact [</w:t>
      </w:r>
      <w:r>
        <w:rPr>
          <w:rFonts w:ascii="Open Sans" w:eastAsia="Open Sans" w:hAnsi="Open Sans" w:cs="Open Sans"/>
          <w:i/>
          <w:sz w:val="20"/>
          <w:szCs w:val="20"/>
        </w:rPr>
        <w:t>Insert contact name</w:t>
      </w:r>
      <w:r>
        <w:rPr>
          <w:rFonts w:ascii="Open Sans" w:eastAsia="Open Sans" w:hAnsi="Open Sans" w:cs="Open Sans"/>
          <w:sz w:val="20"/>
          <w:szCs w:val="20"/>
        </w:rPr>
        <w:t>].</w:t>
      </w:r>
    </w:p>
    <w:p w14:paraId="1F104111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4D9CF707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b/>
          <w:i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ABOUT </w:t>
      </w:r>
      <w:r>
        <w:rPr>
          <w:rFonts w:ascii="Open Sans" w:eastAsia="Open Sans" w:hAnsi="Open Sans" w:cs="Open Sans"/>
          <w:b/>
          <w:i/>
          <w:sz w:val="20"/>
          <w:szCs w:val="20"/>
        </w:rPr>
        <w:t>[Company Name]</w:t>
      </w:r>
    </w:p>
    <w:p w14:paraId="19BD96D2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194FB083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[Company Boilerplate]</w:t>
      </w:r>
    </w:p>
    <w:p w14:paraId="21334A3D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 xml:space="preserve"> </w:t>
      </w:r>
    </w:p>
    <w:p w14:paraId="47B3C5ED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i/>
          <w:sz w:val="20"/>
          <w:szCs w:val="20"/>
        </w:rPr>
      </w:pPr>
      <w:r>
        <w:rPr>
          <w:rFonts w:ascii="Open Sans" w:eastAsia="Open Sans" w:hAnsi="Open Sans" w:cs="Open Sans"/>
          <w:i/>
          <w:sz w:val="20"/>
          <w:szCs w:val="20"/>
        </w:rPr>
        <w:t>[Company Logo]</w:t>
      </w:r>
    </w:p>
    <w:p w14:paraId="56BCDEAD" w14:textId="77777777" w:rsidR="00955AC2" w:rsidRDefault="00955AC2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26B77AED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ABOUT BARR Advisory</w:t>
      </w:r>
    </w:p>
    <w:p w14:paraId="67F39509" w14:textId="77777777" w:rsidR="00955AC2" w:rsidRDefault="00955AC2" w:rsidP="00C64C52">
      <w:pP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06A96A4B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BARR Advisory is a cloud-based security and compliance solutions provider specializing in cybersecurity consulting and compliance for companies with high-value information in cloud environments like AWS, Microsoft Azure, and Google Cloud Platform. A trusted advisor to some of the fastest growing cloud-based organizations around the globe, BARR simplifies compliance across multiple regulatory and customer requirements in highly regulated industries including technology, financial services, healthcare, and government. </w:t>
      </w:r>
    </w:p>
    <w:p w14:paraId="2C5F6191" w14:textId="77777777" w:rsidR="00955AC2" w:rsidRDefault="00955AC2" w:rsidP="00C64C52">
      <w:p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622EB27E" w14:textId="77777777" w:rsidR="00955AC2" w:rsidRDefault="00000000" w:rsidP="00C64C52">
      <w:p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BARR Advisory services include:</w:t>
      </w:r>
    </w:p>
    <w:p w14:paraId="34827C2B" w14:textId="77777777" w:rsidR="00955AC2" w:rsidRDefault="00955AC2" w:rsidP="00C64C52">
      <w:p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0CE242C9" w14:textId="77777777" w:rsidR="00955AC2" w:rsidRDefault="00000000" w:rsidP="00C64C52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Compliance Program Assistance</w:t>
      </w:r>
    </w:p>
    <w:p w14:paraId="5F28BF3B" w14:textId="77777777" w:rsidR="00955AC2" w:rsidRDefault="00000000" w:rsidP="00C64C52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SOC 1 Examinations </w:t>
      </w:r>
    </w:p>
    <w:p w14:paraId="393D2CB3" w14:textId="77777777" w:rsidR="00955AC2" w:rsidRDefault="00000000" w:rsidP="00C64C52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SOC 2 and 3 Examinations</w:t>
      </w:r>
    </w:p>
    <w:p w14:paraId="7AE8A8F0" w14:textId="77777777" w:rsidR="00955AC2" w:rsidRDefault="00000000" w:rsidP="00C64C52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SOC for Cybersecurity</w:t>
      </w:r>
    </w:p>
    <w:p w14:paraId="4AA5FE31" w14:textId="77777777" w:rsidR="00955AC2" w:rsidRDefault="00000000" w:rsidP="00C64C52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PCI DSS Assessment Services </w:t>
      </w:r>
    </w:p>
    <w:p w14:paraId="5D157325" w14:textId="77777777" w:rsidR="00955AC2" w:rsidRDefault="00000000" w:rsidP="00C64C52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ISO 27001 and 27701 Assessments</w:t>
      </w:r>
    </w:p>
    <w:p w14:paraId="1AEF2803" w14:textId="77777777" w:rsidR="00955AC2" w:rsidRDefault="00000000" w:rsidP="00C64C52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FedRAMP Security Assessments </w:t>
      </w:r>
    </w:p>
    <w:p w14:paraId="63DEBF33" w14:textId="77777777" w:rsidR="00955AC2" w:rsidRDefault="00000000" w:rsidP="00C64C52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 xml:space="preserve">HIPAA/HITECH Services </w:t>
      </w:r>
    </w:p>
    <w:p w14:paraId="7359E5A2" w14:textId="77777777" w:rsidR="00955AC2" w:rsidRDefault="00000000" w:rsidP="00C64C52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HITRUST Services</w:t>
      </w:r>
    </w:p>
    <w:p w14:paraId="5ACB7D73" w14:textId="77777777" w:rsidR="00955AC2" w:rsidRDefault="00000000" w:rsidP="00C64C52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Penetration Testing and Vulnerability Assessments</w:t>
      </w:r>
    </w:p>
    <w:p w14:paraId="4B987985" w14:textId="77777777" w:rsidR="00955AC2" w:rsidRDefault="00000000" w:rsidP="00C64C52">
      <w:pPr>
        <w:numPr>
          <w:ilvl w:val="0"/>
          <w:numId w:val="1"/>
        </w:numPr>
        <w:spacing w:line="240" w:lineRule="auto"/>
        <w:rPr>
          <w:rFonts w:ascii="Open Sans" w:eastAsia="Open Sans" w:hAnsi="Open Sans" w:cs="Open Sans"/>
          <w:sz w:val="20"/>
          <w:szCs w:val="20"/>
          <w:highlight w:val="white"/>
        </w:rPr>
      </w:pPr>
      <w:r>
        <w:rPr>
          <w:rFonts w:ascii="Open Sans" w:eastAsia="Open Sans" w:hAnsi="Open Sans" w:cs="Open Sans"/>
          <w:sz w:val="20"/>
          <w:szCs w:val="20"/>
          <w:highlight w:val="white"/>
        </w:rPr>
        <w:t>Cybersecurity Consulting</w:t>
      </w:r>
    </w:p>
    <w:p w14:paraId="337ACDDE" w14:textId="77777777" w:rsidR="00955AC2" w:rsidRDefault="00955AC2" w:rsidP="00C64C52">
      <w:pPr>
        <w:ind w:left="720"/>
        <w:rPr>
          <w:rFonts w:ascii="Open Sans" w:eastAsia="Open Sans" w:hAnsi="Open Sans" w:cs="Open Sans"/>
          <w:sz w:val="20"/>
          <w:szCs w:val="20"/>
          <w:highlight w:val="white"/>
        </w:rPr>
      </w:pPr>
    </w:p>
    <w:p w14:paraId="09387C5E" w14:textId="77777777" w:rsidR="00955AC2" w:rsidRDefault="00955AC2" w:rsidP="00C64C52">
      <w:pPr>
        <w:spacing w:line="261" w:lineRule="auto"/>
        <w:rPr>
          <w:rFonts w:ascii="Open Sans" w:eastAsia="Open Sans" w:hAnsi="Open Sans" w:cs="Open Sans"/>
          <w:sz w:val="20"/>
          <w:szCs w:val="20"/>
        </w:rPr>
      </w:pPr>
    </w:p>
    <w:p w14:paraId="5707D6E6" w14:textId="77777777" w:rsidR="00955AC2" w:rsidRDefault="00000000" w:rsidP="00C64C52">
      <w:pPr>
        <w:spacing w:line="261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noProof/>
          <w:sz w:val="20"/>
          <w:szCs w:val="20"/>
        </w:rPr>
        <w:drawing>
          <wp:inline distT="114300" distB="114300" distL="114300" distR="114300" wp14:anchorId="495B6398" wp14:editId="5208AB8A">
            <wp:extent cx="2033588" cy="589569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589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CC0A99" w14:textId="77777777" w:rsidR="00955AC2" w:rsidRDefault="00955AC2" w:rsidP="00C64C52">
      <w:pPr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48BF6FA4" w14:textId="77777777" w:rsidR="00955AC2" w:rsidRDefault="00955AC2" w:rsidP="00C64C52"/>
    <w:p w14:paraId="732ABB2B" w14:textId="77777777" w:rsidR="00955AC2" w:rsidRDefault="00955AC2" w:rsidP="00C64C52">
      <w:pPr>
        <w:rPr>
          <w:rFonts w:ascii="Open Sans" w:eastAsia="Open Sans" w:hAnsi="Open Sans" w:cs="Open Sans"/>
          <w:sz w:val="20"/>
          <w:szCs w:val="20"/>
        </w:rPr>
      </w:pPr>
    </w:p>
    <w:sectPr w:rsidR="00955AC2">
      <w:headerReference w:type="default" r:id="rId10"/>
      <w:head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D72F" w14:textId="77777777" w:rsidR="00A31388" w:rsidRDefault="00A31388">
      <w:pPr>
        <w:spacing w:line="240" w:lineRule="auto"/>
      </w:pPr>
      <w:r>
        <w:separator/>
      </w:r>
    </w:p>
  </w:endnote>
  <w:endnote w:type="continuationSeparator" w:id="0">
    <w:p w14:paraId="0DC69737" w14:textId="77777777" w:rsidR="00A31388" w:rsidRDefault="00A31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1357" w14:textId="77777777" w:rsidR="00A31388" w:rsidRDefault="00A31388">
      <w:pPr>
        <w:spacing w:line="240" w:lineRule="auto"/>
      </w:pPr>
      <w:r>
        <w:separator/>
      </w:r>
    </w:p>
  </w:footnote>
  <w:footnote w:type="continuationSeparator" w:id="0">
    <w:p w14:paraId="46D9F609" w14:textId="77777777" w:rsidR="00A31388" w:rsidRDefault="00A31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279C" w14:textId="77777777" w:rsidR="00955AC2" w:rsidRDefault="00955AC2"/>
  <w:p w14:paraId="7C8E4B95" w14:textId="77777777" w:rsidR="00955AC2" w:rsidRDefault="00955A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D990" w14:textId="77777777" w:rsidR="00955AC2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1540A90" wp14:editId="3D1B9077">
          <wp:simplePos x="0" y="0"/>
          <wp:positionH relativeFrom="column">
            <wp:posOffset>4962525</wp:posOffset>
          </wp:positionH>
          <wp:positionV relativeFrom="paragraph">
            <wp:posOffset>306218</wp:posOffset>
          </wp:positionV>
          <wp:extent cx="1442041" cy="442913"/>
          <wp:effectExtent l="0" t="0" r="0" b="0"/>
          <wp:wrapSquare wrapText="bothSides" distT="114300" distB="114300" distL="114300" distR="11430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5833" t="-13333" r="-10075" b="-22222"/>
                  <a:stretch>
                    <a:fillRect/>
                  </a:stretch>
                </pic:blipFill>
                <pic:spPr>
                  <a:xfrm>
                    <a:off x="0" y="0"/>
                    <a:ext cx="1442041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0F2"/>
    <w:multiLevelType w:val="multilevel"/>
    <w:tmpl w:val="45C63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3950E0"/>
    <w:multiLevelType w:val="multilevel"/>
    <w:tmpl w:val="A95A8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816385">
    <w:abstractNumId w:val="1"/>
  </w:num>
  <w:num w:numId="2" w16cid:durableId="196545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C2"/>
    <w:rsid w:val="00955AC2"/>
    <w:rsid w:val="00A31388"/>
    <w:rsid w:val="00C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E3A5"/>
  <w15:docId w15:val="{E1750B85-BCB4-4845-BE91-DC1C3681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64C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C52"/>
  </w:style>
  <w:style w:type="paragraph" w:styleId="Footer">
    <w:name w:val="footer"/>
    <w:basedOn w:val="Normal"/>
    <w:link w:val="FooterChar"/>
    <w:uiPriority w:val="99"/>
    <w:unhideWhenUsed/>
    <w:rsid w:val="00C64C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radvisory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rradvisor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Rawlings</cp:lastModifiedBy>
  <cp:revision>2</cp:revision>
  <dcterms:created xsi:type="dcterms:W3CDTF">2023-04-07T19:15:00Z</dcterms:created>
  <dcterms:modified xsi:type="dcterms:W3CDTF">2023-04-07T19:22:00Z</dcterms:modified>
</cp:coreProperties>
</file>