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47BE8" w14:textId="77777777" w:rsidR="00F11245" w:rsidRDefault="00F11245">
      <w:pPr>
        <w:rPr>
          <w:rFonts w:ascii="Open Sans" w:eastAsia="Open Sans" w:hAnsi="Open Sans" w:cs="Open Sans"/>
          <w:b/>
          <w:sz w:val="20"/>
          <w:szCs w:val="20"/>
        </w:rPr>
      </w:pPr>
    </w:p>
    <w:p w14:paraId="020224AA" w14:textId="77777777" w:rsidR="00F11245" w:rsidRDefault="003E41B5">
      <w:pPr>
        <w:rPr>
          <w:rFonts w:ascii="Open Sans" w:eastAsia="Open Sans" w:hAnsi="Open Sans" w:cs="Open Sans"/>
          <w:b/>
          <w:sz w:val="20"/>
          <w:szCs w:val="20"/>
        </w:rPr>
      </w:pPr>
      <w:r>
        <w:rPr>
          <w:rFonts w:ascii="Open Sans" w:eastAsia="Open Sans" w:hAnsi="Open Sans" w:cs="Open Sans"/>
          <w:b/>
          <w:sz w:val="20"/>
          <w:szCs w:val="20"/>
        </w:rPr>
        <w:t>FOR IMMEDIATE RELEASE</w:t>
      </w:r>
    </w:p>
    <w:p w14:paraId="274535C5" w14:textId="77777777" w:rsidR="00F11245" w:rsidRDefault="003E41B5">
      <w:pPr>
        <w:rPr>
          <w:rFonts w:ascii="Open Sans" w:eastAsia="Open Sans" w:hAnsi="Open Sans" w:cs="Open Sans"/>
          <w:sz w:val="20"/>
          <w:szCs w:val="20"/>
        </w:rPr>
      </w:pPr>
      <w:r>
        <w:rPr>
          <w:rFonts w:ascii="Open Sans" w:eastAsia="Open Sans" w:hAnsi="Open Sans" w:cs="Open Sans"/>
          <w:sz w:val="20"/>
          <w:szCs w:val="20"/>
        </w:rPr>
        <w:t>[Month Day, Year]</w:t>
      </w:r>
    </w:p>
    <w:p w14:paraId="252CA043" w14:textId="77777777" w:rsidR="00F11245" w:rsidRDefault="003E41B5">
      <w:pPr>
        <w:rPr>
          <w:rFonts w:ascii="Open Sans" w:eastAsia="Open Sans" w:hAnsi="Open Sans" w:cs="Open Sans"/>
          <w:sz w:val="20"/>
          <w:szCs w:val="20"/>
        </w:rPr>
      </w:pPr>
      <w:r>
        <w:rPr>
          <w:rFonts w:ascii="Open Sans" w:eastAsia="Open Sans" w:hAnsi="Open Sans" w:cs="Open Sans"/>
          <w:sz w:val="20"/>
          <w:szCs w:val="20"/>
        </w:rPr>
        <w:t>[Company Media Contact]</w:t>
      </w:r>
    </w:p>
    <w:p w14:paraId="3C0CDEB7" w14:textId="77777777" w:rsidR="00F11245" w:rsidRDefault="00F11245">
      <w:pPr>
        <w:rPr>
          <w:rFonts w:ascii="Open Sans" w:eastAsia="Open Sans" w:hAnsi="Open Sans" w:cs="Open Sans"/>
          <w:b/>
          <w:sz w:val="20"/>
          <w:szCs w:val="20"/>
        </w:rPr>
      </w:pPr>
    </w:p>
    <w:p w14:paraId="54C8EB0B" w14:textId="77777777" w:rsidR="00F11245" w:rsidRDefault="003E41B5">
      <w:pPr>
        <w:jc w:val="center"/>
        <w:rPr>
          <w:rFonts w:ascii="Open Sans" w:eastAsia="Open Sans" w:hAnsi="Open Sans" w:cs="Open Sans"/>
          <w:b/>
          <w:sz w:val="20"/>
          <w:szCs w:val="20"/>
        </w:rPr>
      </w:pPr>
      <w:r>
        <w:rPr>
          <w:rFonts w:ascii="Open Sans" w:eastAsia="Open Sans" w:hAnsi="Open Sans" w:cs="Open Sans"/>
          <w:b/>
          <w:sz w:val="20"/>
          <w:szCs w:val="20"/>
        </w:rPr>
        <w:t>[Company Name] Maintains Effective Security Controls According to Recent SOC 2</w:t>
      </w:r>
      <w:r>
        <w:rPr>
          <w:rFonts w:ascii="Open Sans" w:eastAsia="Open Sans" w:hAnsi="Open Sans" w:cs="Open Sans"/>
          <w:b/>
          <w:sz w:val="20"/>
          <w:szCs w:val="20"/>
          <w:vertAlign w:val="superscript"/>
        </w:rPr>
        <w:t>SM</w:t>
      </w:r>
      <w:r>
        <w:rPr>
          <w:rFonts w:ascii="Open Sans" w:eastAsia="Open Sans" w:hAnsi="Open Sans" w:cs="Open Sans"/>
          <w:b/>
          <w:sz w:val="20"/>
          <w:szCs w:val="20"/>
        </w:rPr>
        <w:t xml:space="preserve"> Report </w:t>
      </w:r>
    </w:p>
    <w:p w14:paraId="3AEDF9A9" w14:textId="77777777" w:rsidR="00F11245" w:rsidRDefault="00F11245">
      <w:pPr>
        <w:jc w:val="center"/>
        <w:rPr>
          <w:rFonts w:ascii="Open Sans" w:eastAsia="Open Sans" w:hAnsi="Open Sans" w:cs="Open Sans"/>
          <w:b/>
          <w:sz w:val="20"/>
          <w:szCs w:val="20"/>
        </w:rPr>
      </w:pPr>
    </w:p>
    <w:p w14:paraId="568F9B1D" w14:textId="464A1681" w:rsidR="00F11245" w:rsidRDefault="003E41B5">
      <w:pPr>
        <w:spacing w:line="261" w:lineRule="auto"/>
        <w:rPr>
          <w:rFonts w:ascii="Open Sans" w:eastAsia="Open Sans" w:hAnsi="Open Sans" w:cs="Open Sans"/>
          <w:sz w:val="20"/>
          <w:szCs w:val="20"/>
        </w:rPr>
      </w:pPr>
      <w:r>
        <w:rPr>
          <w:rFonts w:ascii="Open Sans" w:eastAsia="Open Sans" w:hAnsi="Open Sans" w:cs="Open Sans"/>
          <w:sz w:val="20"/>
          <w:szCs w:val="20"/>
        </w:rPr>
        <w:t>[City, State] - [DATE] – Today, [Company Name] announced that the company has undergone a System and Organization Controls (SOC) 2</w:t>
      </w:r>
      <w:r>
        <w:rPr>
          <w:rFonts w:ascii="Open Sans" w:eastAsia="Open Sans" w:hAnsi="Open Sans" w:cs="Open Sans"/>
          <w:sz w:val="20"/>
          <w:szCs w:val="20"/>
          <w:vertAlign w:val="superscript"/>
        </w:rPr>
        <w:t>SM</w:t>
      </w:r>
      <w:r>
        <w:rPr>
          <w:rFonts w:ascii="Open Sans" w:eastAsia="Open Sans" w:hAnsi="Open Sans" w:cs="Open Sans"/>
          <w:sz w:val="20"/>
          <w:szCs w:val="20"/>
        </w:rPr>
        <w:t xml:space="preserve"> examination resulting in a CPA’s report stating that management of </w:t>
      </w:r>
      <w:r>
        <w:rPr>
          <w:rFonts w:ascii="Open Sans" w:eastAsia="Open Sans" w:hAnsi="Open Sans" w:cs="Open Sans"/>
          <w:i/>
          <w:sz w:val="20"/>
          <w:szCs w:val="20"/>
        </w:rPr>
        <w:t>[Company Name]</w:t>
      </w:r>
      <w:r>
        <w:rPr>
          <w:rFonts w:ascii="Open Sans" w:eastAsia="Open Sans" w:hAnsi="Open Sans" w:cs="Open Sans"/>
          <w:sz w:val="20"/>
          <w:szCs w:val="20"/>
        </w:rPr>
        <w:t xml:space="preserve"> maintained effective controls over the security, availability, and confidentiality of its [name of system] system. The engagement was performed by </w:t>
      </w:r>
      <w:hyperlink r:id="rId5" w:history="1">
        <w:r w:rsidRPr="00AC577C">
          <w:rPr>
            <w:rStyle w:val="Hyperlink"/>
            <w:rFonts w:ascii="Open Sans" w:eastAsia="Open Sans" w:hAnsi="Open Sans" w:cs="Open Sans"/>
            <w:sz w:val="20"/>
            <w:szCs w:val="20"/>
          </w:rPr>
          <w:t xml:space="preserve">BARR Advisory, </w:t>
        </w:r>
        <w:proofErr w:type="gramStart"/>
        <w:r w:rsidRPr="00AC577C">
          <w:rPr>
            <w:rStyle w:val="Hyperlink"/>
            <w:rFonts w:ascii="Open Sans" w:eastAsia="Open Sans" w:hAnsi="Open Sans" w:cs="Open Sans"/>
            <w:sz w:val="20"/>
            <w:szCs w:val="20"/>
          </w:rPr>
          <w:t>P.A</w:t>
        </w:r>
        <w:proofErr w:type="gramEnd"/>
      </w:hyperlink>
      <w:r>
        <w:rPr>
          <w:rFonts w:ascii="Open Sans" w:eastAsia="Open Sans" w:hAnsi="Open Sans" w:cs="Open Sans"/>
          <w:sz w:val="20"/>
          <w:szCs w:val="20"/>
        </w:rPr>
        <w:t>.</w:t>
      </w:r>
    </w:p>
    <w:p w14:paraId="5E3E95C1" w14:textId="77777777" w:rsidR="00F11245" w:rsidRDefault="00F11245">
      <w:pPr>
        <w:spacing w:line="261" w:lineRule="auto"/>
        <w:rPr>
          <w:rFonts w:ascii="Open Sans" w:eastAsia="Open Sans" w:hAnsi="Open Sans" w:cs="Open Sans"/>
          <w:sz w:val="20"/>
          <w:szCs w:val="20"/>
        </w:rPr>
      </w:pPr>
    </w:p>
    <w:p w14:paraId="2203EE5F" w14:textId="5E1A9F08" w:rsidR="00F11245" w:rsidRDefault="003E41B5">
      <w:pPr>
        <w:spacing w:line="261" w:lineRule="auto"/>
        <w:rPr>
          <w:rFonts w:ascii="Open Sans" w:eastAsia="Open Sans" w:hAnsi="Open Sans" w:cs="Open Sans"/>
          <w:sz w:val="20"/>
          <w:szCs w:val="20"/>
        </w:rPr>
      </w:pPr>
      <w:r>
        <w:rPr>
          <w:rFonts w:ascii="Open Sans" w:eastAsia="Open Sans" w:hAnsi="Open Sans" w:cs="Open Sans"/>
          <w:sz w:val="20"/>
          <w:szCs w:val="20"/>
        </w:rPr>
        <w:t>A SOC 2</w:t>
      </w:r>
      <w:r>
        <w:rPr>
          <w:rFonts w:ascii="Open Sans" w:eastAsia="Open Sans" w:hAnsi="Open Sans" w:cs="Open Sans"/>
          <w:sz w:val="20"/>
          <w:szCs w:val="20"/>
          <w:vertAlign w:val="superscript"/>
        </w:rPr>
        <w:t xml:space="preserve">SM </w:t>
      </w:r>
      <w:r>
        <w:rPr>
          <w:rFonts w:ascii="Open Sans" w:eastAsia="Open Sans" w:hAnsi="Open Sans" w:cs="Open Sans"/>
          <w:sz w:val="20"/>
          <w:szCs w:val="20"/>
        </w:rPr>
        <w:t>report is designed to meet the needs of existing or potential customers  who need assurance about the effectiveness of controls at a service organization that are relevant to the security, availability, or processing integrity of the system used by the service organization to process customers’ information, or the confidentiality or privacy of that information.</w:t>
      </w:r>
    </w:p>
    <w:p w14:paraId="0BDC8383" w14:textId="77777777" w:rsidR="00F11245" w:rsidRDefault="00F11245">
      <w:pPr>
        <w:spacing w:line="261" w:lineRule="auto"/>
        <w:rPr>
          <w:rFonts w:ascii="Open Sans" w:eastAsia="Open Sans" w:hAnsi="Open Sans" w:cs="Open Sans"/>
          <w:sz w:val="20"/>
          <w:szCs w:val="20"/>
        </w:rPr>
      </w:pPr>
    </w:p>
    <w:p w14:paraId="25ADF9A1" w14:textId="77777777" w:rsidR="00F11245" w:rsidRDefault="003E41B5">
      <w:pPr>
        <w:spacing w:line="261" w:lineRule="auto"/>
        <w:rPr>
          <w:rFonts w:ascii="Open Sans" w:eastAsia="Open Sans" w:hAnsi="Open Sans" w:cs="Open Sans"/>
          <w:i/>
          <w:sz w:val="20"/>
          <w:szCs w:val="20"/>
        </w:rPr>
      </w:pPr>
      <w:r>
        <w:rPr>
          <w:rFonts w:ascii="Open Sans" w:eastAsia="Open Sans" w:hAnsi="Open Sans" w:cs="Open Sans"/>
          <w:sz w:val="20"/>
          <w:szCs w:val="20"/>
        </w:rPr>
        <w:t>"We are pleased that our SOC 2</w:t>
      </w:r>
      <w:r>
        <w:rPr>
          <w:rFonts w:ascii="Open Sans" w:eastAsia="Open Sans" w:hAnsi="Open Sans" w:cs="Open Sans"/>
          <w:sz w:val="20"/>
          <w:szCs w:val="20"/>
          <w:vertAlign w:val="superscript"/>
        </w:rPr>
        <w:t xml:space="preserve">SM </w:t>
      </w:r>
      <w:r>
        <w:rPr>
          <w:rFonts w:ascii="Open Sans" w:eastAsia="Open Sans" w:hAnsi="Open Sans" w:cs="Open Sans"/>
          <w:sz w:val="20"/>
          <w:szCs w:val="20"/>
        </w:rPr>
        <w:t>report has shown that we have the appropriate controls in place to mitigate risks related to security, availability, and confidentiality and HIPAA Security Rule Requirements,” said [</w:t>
      </w:r>
      <w:r>
        <w:rPr>
          <w:rFonts w:ascii="Open Sans" w:eastAsia="Open Sans" w:hAnsi="Open Sans" w:cs="Open Sans"/>
          <w:i/>
          <w:sz w:val="20"/>
          <w:szCs w:val="20"/>
        </w:rPr>
        <w:t>Insert name of company representative and title</w:t>
      </w:r>
      <w:r>
        <w:rPr>
          <w:rFonts w:ascii="Open Sans" w:eastAsia="Open Sans" w:hAnsi="Open Sans" w:cs="Open Sans"/>
          <w:sz w:val="20"/>
          <w:szCs w:val="20"/>
        </w:rPr>
        <w:t xml:space="preserve">]. </w:t>
      </w:r>
      <w:r>
        <w:rPr>
          <w:rFonts w:ascii="Open Sans" w:eastAsia="Open Sans" w:hAnsi="Open Sans" w:cs="Open Sans"/>
          <w:i/>
          <w:sz w:val="20"/>
          <w:szCs w:val="20"/>
        </w:rPr>
        <w:t>“[Insert explanation of why relevant principles are important to company business and client]”</w:t>
      </w:r>
    </w:p>
    <w:p w14:paraId="1E4E6271" w14:textId="77777777" w:rsidR="00F11245" w:rsidRDefault="00F11245">
      <w:pPr>
        <w:rPr>
          <w:rFonts w:ascii="Open Sans" w:eastAsia="Open Sans" w:hAnsi="Open Sans" w:cs="Open Sans"/>
          <w:sz w:val="20"/>
          <w:szCs w:val="20"/>
          <w:highlight w:val="white"/>
        </w:rPr>
      </w:pPr>
    </w:p>
    <w:p w14:paraId="4023516F" w14:textId="77777777" w:rsidR="00F11245" w:rsidRDefault="003E41B5">
      <w:pPr>
        <w:rPr>
          <w:rFonts w:ascii="Open Sans" w:eastAsia="Open Sans" w:hAnsi="Open Sans" w:cs="Open Sans"/>
          <w:sz w:val="20"/>
          <w:szCs w:val="20"/>
          <w:highlight w:val="white"/>
        </w:rPr>
      </w:pPr>
      <w:r>
        <w:rPr>
          <w:rFonts w:ascii="Open Sans" w:eastAsia="Open Sans" w:hAnsi="Open Sans" w:cs="Open Sans"/>
          <w:sz w:val="20"/>
          <w:szCs w:val="20"/>
          <w:highlight w:val="white"/>
        </w:rPr>
        <w:t>The following principles and related criteria have been developed by the American Institute of CPAs (AICPA) and the Canadian Institute of Chartered Accountants (CICA) for use by practitioners in the performance of trust services engagements:</w:t>
      </w:r>
    </w:p>
    <w:p w14:paraId="25F7D4A3" w14:textId="77777777" w:rsidR="00F11245" w:rsidRDefault="00F11245">
      <w:pPr>
        <w:rPr>
          <w:rFonts w:ascii="Open Sans" w:eastAsia="Open Sans" w:hAnsi="Open Sans" w:cs="Open Sans"/>
          <w:sz w:val="20"/>
          <w:szCs w:val="20"/>
          <w:highlight w:val="white"/>
        </w:rPr>
      </w:pPr>
    </w:p>
    <w:p w14:paraId="2FA5255E" w14:textId="77777777" w:rsidR="00F11245" w:rsidRDefault="003E41B5">
      <w:pPr>
        <w:numPr>
          <w:ilvl w:val="0"/>
          <w:numId w:val="2"/>
        </w:numPr>
        <w:spacing w:line="229" w:lineRule="auto"/>
        <w:ind w:right="80"/>
        <w:rPr>
          <w:rFonts w:ascii="Open Sans" w:eastAsia="Open Sans" w:hAnsi="Open Sans" w:cs="Open Sans"/>
          <w:i/>
          <w:sz w:val="20"/>
          <w:szCs w:val="20"/>
          <w:highlight w:val="white"/>
        </w:rPr>
      </w:pPr>
      <w:r>
        <w:rPr>
          <w:rFonts w:ascii="Open Sans" w:eastAsia="Open Sans" w:hAnsi="Open Sans" w:cs="Open Sans"/>
          <w:b/>
          <w:i/>
          <w:sz w:val="20"/>
          <w:szCs w:val="20"/>
          <w:highlight w:val="white"/>
        </w:rPr>
        <w:t>Security</w:t>
      </w:r>
      <w:r>
        <w:rPr>
          <w:rFonts w:ascii="Open Sans" w:eastAsia="Open Sans" w:hAnsi="Open Sans" w:cs="Open Sans"/>
          <w:i/>
          <w:sz w:val="20"/>
          <w:szCs w:val="20"/>
          <w:highlight w:val="white"/>
        </w:rPr>
        <w:t>. The system is protected against unauthorized access (both physical and logical).</w:t>
      </w:r>
    </w:p>
    <w:p w14:paraId="6D974ACE" w14:textId="77777777" w:rsidR="00F11245" w:rsidRDefault="003E41B5">
      <w:pPr>
        <w:numPr>
          <w:ilvl w:val="0"/>
          <w:numId w:val="2"/>
        </w:numPr>
        <w:spacing w:line="229" w:lineRule="auto"/>
        <w:ind w:right="80"/>
        <w:rPr>
          <w:rFonts w:ascii="Open Sans" w:eastAsia="Open Sans" w:hAnsi="Open Sans" w:cs="Open Sans"/>
          <w:i/>
          <w:sz w:val="20"/>
          <w:szCs w:val="20"/>
          <w:highlight w:val="white"/>
        </w:rPr>
      </w:pPr>
      <w:r>
        <w:rPr>
          <w:rFonts w:ascii="Open Sans" w:eastAsia="Open Sans" w:hAnsi="Open Sans" w:cs="Open Sans"/>
          <w:b/>
          <w:i/>
          <w:sz w:val="20"/>
          <w:szCs w:val="20"/>
          <w:highlight w:val="white"/>
        </w:rPr>
        <w:t>Availability</w:t>
      </w:r>
      <w:r>
        <w:rPr>
          <w:rFonts w:ascii="Open Sans" w:eastAsia="Open Sans" w:hAnsi="Open Sans" w:cs="Open Sans"/>
          <w:i/>
          <w:sz w:val="20"/>
          <w:szCs w:val="20"/>
          <w:highlight w:val="white"/>
        </w:rPr>
        <w:t>. The system is available for operation and use as committed or agreed.</w:t>
      </w:r>
    </w:p>
    <w:p w14:paraId="601DC1DC" w14:textId="77777777" w:rsidR="00F11245" w:rsidRDefault="003E41B5">
      <w:pPr>
        <w:numPr>
          <w:ilvl w:val="0"/>
          <w:numId w:val="2"/>
        </w:numPr>
        <w:spacing w:line="229" w:lineRule="auto"/>
        <w:ind w:right="80"/>
        <w:rPr>
          <w:rFonts w:ascii="Open Sans" w:eastAsia="Open Sans" w:hAnsi="Open Sans" w:cs="Open Sans"/>
          <w:i/>
          <w:sz w:val="20"/>
          <w:szCs w:val="20"/>
          <w:highlight w:val="white"/>
        </w:rPr>
      </w:pPr>
      <w:r>
        <w:rPr>
          <w:rFonts w:ascii="Open Sans" w:eastAsia="Open Sans" w:hAnsi="Open Sans" w:cs="Open Sans"/>
          <w:b/>
          <w:i/>
          <w:sz w:val="20"/>
          <w:szCs w:val="20"/>
          <w:highlight w:val="white"/>
        </w:rPr>
        <w:t>Confidentiality</w:t>
      </w:r>
      <w:r>
        <w:rPr>
          <w:rFonts w:ascii="Open Sans" w:eastAsia="Open Sans" w:hAnsi="Open Sans" w:cs="Open Sans"/>
          <w:i/>
          <w:sz w:val="20"/>
          <w:szCs w:val="20"/>
          <w:highlight w:val="white"/>
        </w:rPr>
        <w:t>. Information designated as confidential is protected as committed or agreed.</w:t>
      </w:r>
    </w:p>
    <w:p w14:paraId="70A30D07" w14:textId="77777777" w:rsidR="00F11245" w:rsidRDefault="003E41B5">
      <w:pPr>
        <w:numPr>
          <w:ilvl w:val="0"/>
          <w:numId w:val="2"/>
        </w:numPr>
        <w:spacing w:line="229" w:lineRule="auto"/>
        <w:ind w:right="80"/>
        <w:rPr>
          <w:rFonts w:ascii="Open Sans" w:eastAsia="Open Sans" w:hAnsi="Open Sans" w:cs="Open Sans"/>
          <w:i/>
          <w:sz w:val="20"/>
          <w:szCs w:val="20"/>
          <w:highlight w:val="white"/>
        </w:rPr>
      </w:pPr>
      <w:r>
        <w:rPr>
          <w:rFonts w:ascii="Open Sans" w:eastAsia="Open Sans" w:hAnsi="Open Sans" w:cs="Open Sans"/>
          <w:b/>
          <w:i/>
          <w:sz w:val="20"/>
          <w:szCs w:val="20"/>
          <w:highlight w:val="white"/>
        </w:rPr>
        <w:t>HIPAA Security Rule Requirements</w:t>
      </w:r>
      <w:r>
        <w:rPr>
          <w:rFonts w:ascii="Open Sans" w:eastAsia="Open Sans" w:hAnsi="Open Sans" w:cs="Open Sans"/>
          <w:i/>
          <w:sz w:val="20"/>
          <w:szCs w:val="20"/>
          <w:highlight w:val="white"/>
        </w:rPr>
        <w:t xml:space="preserve">. The BI360 system and applicable controls are compliant with the applicable HIPAA Security Rule requirements set forth in the U.S. Department of Health and Human Services’ (HHS) Health Information Portability and Accountability Act </w:t>
      </w:r>
    </w:p>
    <w:p w14:paraId="3A37CC44" w14:textId="77777777" w:rsidR="00F11245" w:rsidRDefault="00F11245">
      <w:pPr>
        <w:spacing w:line="261" w:lineRule="auto"/>
        <w:rPr>
          <w:rFonts w:ascii="Open Sans" w:eastAsia="Open Sans" w:hAnsi="Open Sans" w:cs="Open Sans"/>
          <w:sz w:val="20"/>
          <w:szCs w:val="20"/>
        </w:rPr>
      </w:pPr>
    </w:p>
    <w:p w14:paraId="09A416F6" w14:textId="6E1DC80E" w:rsidR="00F11245" w:rsidRDefault="003E41B5">
      <w:pPr>
        <w:spacing w:line="261" w:lineRule="auto"/>
        <w:rPr>
          <w:rFonts w:ascii="Open Sans" w:eastAsia="Open Sans" w:hAnsi="Open Sans" w:cs="Open Sans"/>
          <w:sz w:val="20"/>
          <w:szCs w:val="20"/>
        </w:rPr>
      </w:pPr>
      <w:r>
        <w:rPr>
          <w:rFonts w:ascii="Open Sans" w:eastAsia="Open Sans" w:hAnsi="Open Sans" w:cs="Open Sans"/>
          <w:sz w:val="20"/>
          <w:szCs w:val="20"/>
        </w:rPr>
        <w:t>A SOC 2</w:t>
      </w:r>
      <w:r>
        <w:rPr>
          <w:rFonts w:ascii="Open Sans" w:eastAsia="Open Sans" w:hAnsi="Open Sans" w:cs="Open Sans"/>
          <w:sz w:val="20"/>
          <w:szCs w:val="20"/>
          <w:vertAlign w:val="superscript"/>
        </w:rPr>
        <w:t>SM</w:t>
      </w:r>
      <w:r>
        <w:rPr>
          <w:rFonts w:ascii="Open Sans" w:eastAsia="Open Sans" w:hAnsi="Open Sans" w:cs="Open Sans"/>
          <w:sz w:val="20"/>
          <w:szCs w:val="20"/>
        </w:rPr>
        <w:t xml:space="preserve"> report is an internal control report on the services provided by a service organization to its customers and provides valuable information that existing and potential customers of the service organization need to assess and address the risks associated with an outsourced service.</w:t>
      </w:r>
    </w:p>
    <w:p w14:paraId="0790C32A" w14:textId="77777777" w:rsidR="00000BCA" w:rsidRDefault="00000BCA">
      <w:pPr>
        <w:spacing w:line="261" w:lineRule="auto"/>
        <w:rPr>
          <w:rFonts w:ascii="Open Sans" w:eastAsia="Open Sans" w:hAnsi="Open Sans" w:cs="Open Sans"/>
          <w:sz w:val="20"/>
          <w:szCs w:val="20"/>
        </w:rPr>
      </w:pPr>
    </w:p>
    <w:p w14:paraId="77118F11" w14:textId="77777777" w:rsidR="00F11245" w:rsidRDefault="003E41B5">
      <w:pPr>
        <w:spacing w:line="261" w:lineRule="auto"/>
        <w:rPr>
          <w:rFonts w:ascii="Open Sans" w:eastAsia="Open Sans" w:hAnsi="Open Sans" w:cs="Open Sans"/>
          <w:sz w:val="20"/>
          <w:szCs w:val="20"/>
        </w:rPr>
      </w:pPr>
      <w:r>
        <w:rPr>
          <w:rFonts w:ascii="Open Sans" w:eastAsia="Open Sans" w:hAnsi="Open Sans" w:cs="Open Sans"/>
          <w:sz w:val="20"/>
          <w:szCs w:val="20"/>
        </w:rPr>
        <w:t>Current and prospective customers interested in a copy of our SOC 2</w:t>
      </w:r>
      <w:r>
        <w:rPr>
          <w:rFonts w:ascii="Open Sans" w:eastAsia="Open Sans" w:hAnsi="Open Sans" w:cs="Open Sans"/>
          <w:sz w:val="20"/>
          <w:szCs w:val="20"/>
          <w:vertAlign w:val="superscript"/>
        </w:rPr>
        <w:t xml:space="preserve">SM </w:t>
      </w:r>
      <w:r>
        <w:rPr>
          <w:rFonts w:ascii="Open Sans" w:eastAsia="Open Sans" w:hAnsi="Open Sans" w:cs="Open Sans"/>
          <w:sz w:val="20"/>
          <w:szCs w:val="20"/>
        </w:rPr>
        <w:t>report may contact [</w:t>
      </w:r>
      <w:r>
        <w:rPr>
          <w:rFonts w:ascii="Open Sans" w:eastAsia="Open Sans" w:hAnsi="Open Sans" w:cs="Open Sans"/>
          <w:i/>
          <w:sz w:val="20"/>
          <w:szCs w:val="20"/>
        </w:rPr>
        <w:t>Insert contact name</w:t>
      </w:r>
      <w:r>
        <w:rPr>
          <w:rFonts w:ascii="Open Sans" w:eastAsia="Open Sans" w:hAnsi="Open Sans" w:cs="Open Sans"/>
          <w:sz w:val="20"/>
          <w:szCs w:val="20"/>
        </w:rPr>
        <w:t>].</w:t>
      </w:r>
    </w:p>
    <w:p w14:paraId="77AA65C0" w14:textId="77777777" w:rsidR="00F11245" w:rsidRDefault="00F11245">
      <w:pPr>
        <w:spacing w:line="261" w:lineRule="auto"/>
        <w:rPr>
          <w:rFonts w:ascii="Open Sans" w:eastAsia="Open Sans" w:hAnsi="Open Sans" w:cs="Open Sans"/>
          <w:sz w:val="20"/>
          <w:szCs w:val="20"/>
        </w:rPr>
      </w:pPr>
    </w:p>
    <w:p w14:paraId="5F0E6A37" w14:textId="77777777" w:rsidR="00F11245" w:rsidRDefault="003E41B5">
      <w:pPr>
        <w:spacing w:line="261" w:lineRule="auto"/>
        <w:rPr>
          <w:rFonts w:ascii="Open Sans" w:eastAsia="Open Sans" w:hAnsi="Open Sans" w:cs="Open Sans"/>
          <w:b/>
          <w:sz w:val="20"/>
          <w:szCs w:val="20"/>
        </w:rPr>
      </w:pPr>
      <w:r>
        <w:rPr>
          <w:rFonts w:ascii="Open Sans" w:eastAsia="Open Sans" w:hAnsi="Open Sans" w:cs="Open Sans"/>
          <w:b/>
          <w:sz w:val="20"/>
          <w:szCs w:val="20"/>
        </w:rPr>
        <w:t>ABOUT [Company Name]</w:t>
      </w:r>
    </w:p>
    <w:p w14:paraId="470D965F" w14:textId="77777777" w:rsidR="00F11245" w:rsidRDefault="00F11245">
      <w:pPr>
        <w:spacing w:line="261" w:lineRule="auto"/>
        <w:rPr>
          <w:rFonts w:ascii="Open Sans" w:eastAsia="Open Sans" w:hAnsi="Open Sans" w:cs="Open Sans"/>
          <w:sz w:val="20"/>
          <w:szCs w:val="20"/>
        </w:rPr>
      </w:pPr>
    </w:p>
    <w:p w14:paraId="6F4EA4E8" w14:textId="77777777" w:rsidR="00F11245" w:rsidRDefault="003E41B5">
      <w:pPr>
        <w:spacing w:line="261" w:lineRule="auto"/>
        <w:rPr>
          <w:rFonts w:ascii="Open Sans" w:eastAsia="Open Sans" w:hAnsi="Open Sans" w:cs="Open Sans"/>
          <w:sz w:val="20"/>
          <w:szCs w:val="20"/>
        </w:rPr>
      </w:pPr>
      <w:r>
        <w:rPr>
          <w:rFonts w:ascii="Open Sans" w:eastAsia="Open Sans" w:hAnsi="Open Sans" w:cs="Open Sans"/>
          <w:sz w:val="20"/>
          <w:szCs w:val="20"/>
        </w:rPr>
        <w:t>[Company Boilerplate]</w:t>
      </w:r>
    </w:p>
    <w:p w14:paraId="371955C9" w14:textId="77777777" w:rsidR="00F11245" w:rsidRDefault="00F11245">
      <w:pPr>
        <w:spacing w:line="261" w:lineRule="auto"/>
        <w:rPr>
          <w:rFonts w:ascii="Open Sans" w:eastAsia="Open Sans" w:hAnsi="Open Sans" w:cs="Open Sans"/>
          <w:sz w:val="20"/>
          <w:szCs w:val="20"/>
        </w:rPr>
      </w:pPr>
    </w:p>
    <w:p w14:paraId="61FCE373" w14:textId="77777777" w:rsidR="00F11245" w:rsidRDefault="003E41B5">
      <w:pPr>
        <w:spacing w:line="261" w:lineRule="auto"/>
        <w:rPr>
          <w:rFonts w:ascii="Open Sans" w:eastAsia="Open Sans" w:hAnsi="Open Sans" w:cs="Open Sans"/>
          <w:sz w:val="20"/>
          <w:szCs w:val="20"/>
        </w:rPr>
      </w:pPr>
      <w:r>
        <w:rPr>
          <w:rFonts w:ascii="Open Sans" w:eastAsia="Open Sans" w:hAnsi="Open Sans" w:cs="Open Sans"/>
          <w:sz w:val="20"/>
          <w:szCs w:val="20"/>
        </w:rPr>
        <w:t>[Company Logo]</w:t>
      </w:r>
    </w:p>
    <w:p w14:paraId="3DAE8E0A" w14:textId="77777777" w:rsidR="00F11245" w:rsidRDefault="00F11245">
      <w:pPr>
        <w:spacing w:line="261" w:lineRule="auto"/>
        <w:rPr>
          <w:rFonts w:ascii="Open Sans" w:eastAsia="Open Sans" w:hAnsi="Open Sans" w:cs="Open Sans"/>
          <w:sz w:val="20"/>
          <w:szCs w:val="20"/>
        </w:rPr>
      </w:pPr>
    </w:p>
    <w:p w14:paraId="6C8BF89C" w14:textId="77777777" w:rsidR="00F11245" w:rsidRDefault="003E41B5">
      <w:pPr>
        <w:spacing w:line="261" w:lineRule="auto"/>
        <w:rPr>
          <w:rFonts w:ascii="Open Sans" w:eastAsia="Open Sans" w:hAnsi="Open Sans" w:cs="Open Sans"/>
          <w:b/>
          <w:sz w:val="20"/>
          <w:szCs w:val="20"/>
        </w:rPr>
      </w:pPr>
      <w:r>
        <w:rPr>
          <w:rFonts w:ascii="Open Sans" w:eastAsia="Open Sans" w:hAnsi="Open Sans" w:cs="Open Sans"/>
          <w:b/>
          <w:sz w:val="20"/>
          <w:szCs w:val="20"/>
        </w:rPr>
        <w:t>ABOUT BARR Advisory</w:t>
      </w:r>
    </w:p>
    <w:p w14:paraId="50CD76DA" w14:textId="77777777" w:rsidR="00F11245" w:rsidRDefault="00F11245">
      <w:pPr>
        <w:spacing w:line="261" w:lineRule="auto"/>
        <w:rPr>
          <w:rFonts w:ascii="Open Sans" w:eastAsia="Open Sans" w:hAnsi="Open Sans" w:cs="Open Sans"/>
          <w:sz w:val="20"/>
          <w:szCs w:val="20"/>
        </w:rPr>
      </w:pPr>
    </w:p>
    <w:p w14:paraId="75555E89" w14:textId="77777777" w:rsidR="00F11245" w:rsidRDefault="003E41B5">
      <w:pPr>
        <w:rPr>
          <w:rFonts w:ascii="Open Sans" w:eastAsia="Open Sans" w:hAnsi="Open Sans" w:cs="Open Sans"/>
          <w:sz w:val="20"/>
          <w:szCs w:val="20"/>
          <w:highlight w:val="white"/>
        </w:rPr>
      </w:pPr>
      <w:r>
        <w:rPr>
          <w:rFonts w:ascii="Open Sans" w:eastAsia="Open Sans" w:hAnsi="Open Sans" w:cs="Open Sans"/>
          <w:sz w:val="20"/>
          <w:szCs w:val="20"/>
          <w:highlight w:val="white"/>
        </w:rPr>
        <w:lastRenderedPageBreak/>
        <w:t xml:space="preserve">BARR Advisory is a cloud-based security and compliance solutions provider, specializing in cybersecurity and compliance for Software as a Service (SaaS) companies. A trusted advisor to some of the fastest growing cloud-based organizations around the globe, BARR simplifies compliance across multiple regulatory and customer requirements in highly regulated industries including technology, financial services, healthcare, and government. </w:t>
      </w:r>
    </w:p>
    <w:p w14:paraId="6718A9B3" w14:textId="77777777" w:rsidR="00F11245" w:rsidRDefault="00F11245">
      <w:pPr>
        <w:rPr>
          <w:rFonts w:ascii="Open Sans" w:eastAsia="Open Sans" w:hAnsi="Open Sans" w:cs="Open Sans"/>
          <w:sz w:val="20"/>
          <w:szCs w:val="20"/>
          <w:highlight w:val="white"/>
        </w:rPr>
      </w:pPr>
    </w:p>
    <w:p w14:paraId="383322A7" w14:textId="77777777" w:rsidR="00F11245" w:rsidRDefault="003E41B5">
      <w:pPr>
        <w:rPr>
          <w:rFonts w:ascii="Open Sans" w:eastAsia="Open Sans" w:hAnsi="Open Sans" w:cs="Open Sans"/>
          <w:sz w:val="20"/>
          <w:szCs w:val="20"/>
          <w:highlight w:val="white"/>
        </w:rPr>
      </w:pPr>
      <w:r>
        <w:rPr>
          <w:rFonts w:ascii="Open Sans" w:eastAsia="Open Sans" w:hAnsi="Open Sans" w:cs="Open Sans"/>
          <w:sz w:val="20"/>
          <w:szCs w:val="20"/>
          <w:highlight w:val="white"/>
        </w:rPr>
        <w:t>BARR Advisory services include:</w:t>
      </w:r>
    </w:p>
    <w:p w14:paraId="1CC5265B" w14:textId="77777777" w:rsidR="00F11245" w:rsidRDefault="00F11245">
      <w:pPr>
        <w:rPr>
          <w:rFonts w:ascii="Open Sans" w:eastAsia="Open Sans" w:hAnsi="Open Sans" w:cs="Open Sans"/>
          <w:sz w:val="20"/>
          <w:szCs w:val="20"/>
          <w:highlight w:val="white"/>
        </w:rPr>
      </w:pPr>
    </w:p>
    <w:p w14:paraId="2DB6C0E8" w14:textId="261DA10C" w:rsidR="003B3BA5" w:rsidRDefault="003B3BA5" w:rsidP="003B3BA5">
      <w:pPr>
        <w:pStyle w:val="ListParagraph"/>
        <w:numPr>
          <w:ilvl w:val="0"/>
          <w:numId w:val="3"/>
        </w:numPr>
        <w:spacing w:line="261" w:lineRule="auto"/>
        <w:rPr>
          <w:rFonts w:ascii="Open Sans" w:eastAsia="Open Sans" w:hAnsi="Open Sans" w:cs="Open Sans"/>
          <w:sz w:val="20"/>
          <w:szCs w:val="20"/>
          <w:highlight w:val="white"/>
          <w:lang w:val="en-US"/>
        </w:rPr>
      </w:pPr>
      <w:r w:rsidRPr="003B3BA5">
        <w:rPr>
          <w:rFonts w:ascii="Open Sans" w:eastAsia="Open Sans" w:hAnsi="Open Sans" w:cs="Open Sans"/>
          <w:sz w:val="20"/>
          <w:szCs w:val="20"/>
          <w:highlight w:val="white"/>
          <w:lang w:val="en-US"/>
        </w:rPr>
        <w:t>Compliance Program Assistance</w:t>
      </w:r>
    </w:p>
    <w:p w14:paraId="62A6DBD4" w14:textId="77777777" w:rsidR="003B3BA5" w:rsidRDefault="003B3BA5" w:rsidP="003B3BA5">
      <w:pPr>
        <w:pStyle w:val="ListParagraph"/>
        <w:numPr>
          <w:ilvl w:val="0"/>
          <w:numId w:val="3"/>
        </w:numPr>
        <w:spacing w:line="261" w:lineRule="auto"/>
        <w:rPr>
          <w:rFonts w:ascii="Open Sans" w:eastAsia="Open Sans" w:hAnsi="Open Sans" w:cs="Open Sans"/>
          <w:sz w:val="20"/>
          <w:szCs w:val="20"/>
          <w:highlight w:val="white"/>
          <w:lang w:val="en-US"/>
        </w:rPr>
      </w:pPr>
      <w:r w:rsidRPr="003B3BA5">
        <w:rPr>
          <w:rFonts w:ascii="Open Sans" w:eastAsia="Open Sans" w:hAnsi="Open Sans" w:cs="Open Sans"/>
          <w:sz w:val="20"/>
          <w:szCs w:val="20"/>
          <w:highlight w:val="white"/>
          <w:lang w:val="en-US"/>
        </w:rPr>
        <w:t>SOC 1 Examinations</w:t>
      </w:r>
    </w:p>
    <w:p w14:paraId="1CB55620" w14:textId="77777777" w:rsidR="003B3BA5" w:rsidRDefault="003B3BA5" w:rsidP="003B3BA5">
      <w:pPr>
        <w:pStyle w:val="ListParagraph"/>
        <w:numPr>
          <w:ilvl w:val="0"/>
          <w:numId w:val="3"/>
        </w:numPr>
        <w:spacing w:line="261" w:lineRule="auto"/>
        <w:rPr>
          <w:rFonts w:ascii="Open Sans" w:eastAsia="Open Sans" w:hAnsi="Open Sans" w:cs="Open Sans"/>
          <w:sz w:val="20"/>
          <w:szCs w:val="20"/>
          <w:highlight w:val="white"/>
          <w:lang w:val="en-US"/>
        </w:rPr>
      </w:pPr>
      <w:r w:rsidRPr="003B3BA5">
        <w:rPr>
          <w:rFonts w:ascii="Open Sans" w:eastAsia="Open Sans" w:hAnsi="Open Sans" w:cs="Open Sans"/>
          <w:sz w:val="20"/>
          <w:szCs w:val="20"/>
          <w:highlight w:val="white"/>
          <w:lang w:val="en-US"/>
        </w:rPr>
        <w:t>SOC 2 and 3 Examinations</w:t>
      </w:r>
    </w:p>
    <w:p w14:paraId="082CBAEE" w14:textId="77777777" w:rsidR="003B3BA5" w:rsidRDefault="003B3BA5" w:rsidP="003B3BA5">
      <w:pPr>
        <w:pStyle w:val="ListParagraph"/>
        <w:numPr>
          <w:ilvl w:val="0"/>
          <w:numId w:val="3"/>
        </w:numPr>
        <w:spacing w:line="261" w:lineRule="auto"/>
        <w:rPr>
          <w:rFonts w:ascii="Open Sans" w:eastAsia="Open Sans" w:hAnsi="Open Sans" w:cs="Open Sans"/>
          <w:sz w:val="20"/>
          <w:szCs w:val="20"/>
          <w:highlight w:val="white"/>
          <w:lang w:val="en-US"/>
        </w:rPr>
      </w:pPr>
      <w:r w:rsidRPr="003B3BA5">
        <w:rPr>
          <w:rFonts w:ascii="Open Sans" w:eastAsia="Open Sans" w:hAnsi="Open Sans" w:cs="Open Sans"/>
          <w:sz w:val="20"/>
          <w:szCs w:val="20"/>
          <w:highlight w:val="white"/>
          <w:lang w:val="en-US"/>
        </w:rPr>
        <w:t>SOC for Cybersecurity</w:t>
      </w:r>
    </w:p>
    <w:p w14:paraId="6D80E699" w14:textId="77777777" w:rsidR="003B3BA5" w:rsidRDefault="003B3BA5" w:rsidP="003B3BA5">
      <w:pPr>
        <w:pStyle w:val="ListParagraph"/>
        <w:numPr>
          <w:ilvl w:val="0"/>
          <w:numId w:val="3"/>
        </w:numPr>
        <w:spacing w:line="261" w:lineRule="auto"/>
        <w:rPr>
          <w:rFonts w:ascii="Open Sans" w:eastAsia="Open Sans" w:hAnsi="Open Sans" w:cs="Open Sans"/>
          <w:sz w:val="20"/>
          <w:szCs w:val="20"/>
          <w:highlight w:val="white"/>
          <w:lang w:val="en-US"/>
        </w:rPr>
      </w:pPr>
      <w:r w:rsidRPr="003B3BA5">
        <w:rPr>
          <w:rFonts w:ascii="Open Sans" w:eastAsia="Open Sans" w:hAnsi="Open Sans" w:cs="Open Sans"/>
          <w:sz w:val="20"/>
          <w:szCs w:val="20"/>
          <w:highlight w:val="white"/>
          <w:lang w:val="en-US"/>
        </w:rPr>
        <w:t>PCI DSS Assessment Services</w:t>
      </w:r>
    </w:p>
    <w:p w14:paraId="79AAF246" w14:textId="77777777" w:rsidR="003B3BA5" w:rsidRDefault="003B3BA5" w:rsidP="003B3BA5">
      <w:pPr>
        <w:pStyle w:val="ListParagraph"/>
        <w:numPr>
          <w:ilvl w:val="0"/>
          <w:numId w:val="3"/>
        </w:numPr>
        <w:spacing w:line="261" w:lineRule="auto"/>
        <w:rPr>
          <w:rFonts w:ascii="Open Sans" w:eastAsia="Open Sans" w:hAnsi="Open Sans" w:cs="Open Sans"/>
          <w:sz w:val="20"/>
          <w:szCs w:val="20"/>
          <w:highlight w:val="white"/>
          <w:lang w:val="en-US"/>
        </w:rPr>
      </w:pPr>
      <w:r w:rsidRPr="003B3BA5">
        <w:rPr>
          <w:rFonts w:ascii="Open Sans" w:eastAsia="Open Sans" w:hAnsi="Open Sans" w:cs="Open Sans"/>
          <w:sz w:val="20"/>
          <w:szCs w:val="20"/>
          <w:highlight w:val="white"/>
          <w:lang w:val="en-US"/>
        </w:rPr>
        <w:t>ISO 27001 Assessments</w:t>
      </w:r>
    </w:p>
    <w:p w14:paraId="405B133B" w14:textId="77777777" w:rsidR="003B3BA5" w:rsidRDefault="003B3BA5" w:rsidP="003B3BA5">
      <w:pPr>
        <w:pStyle w:val="ListParagraph"/>
        <w:numPr>
          <w:ilvl w:val="0"/>
          <w:numId w:val="3"/>
        </w:numPr>
        <w:spacing w:line="261" w:lineRule="auto"/>
        <w:rPr>
          <w:rFonts w:ascii="Open Sans" w:eastAsia="Open Sans" w:hAnsi="Open Sans" w:cs="Open Sans"/>
          <w:sz w:val="20"/>
          <w:szCs w:val="20"/>
          <w:highlight w:val="white"/>
          <w:lang w:val="en-US"/>
        </w:rPr>
      </w:pPr>
      <w:r w:rsidRPr="003B3BA5">
        <w:rPr>
          <w:rFonts w:ascii="Open Sans" w:eastAsia="Open Sans" w:hAnsi="Open Sans" w:cs="Open Sans"/>
          <w:sz w:val="20"/>
          <w:szCs w:val="20"/>
          <w:highlight w:val="white"/>
          <w:lang w:val="en-US"/>
        </w:rPr>
        <w:t>FedRAMP Security Assessments</w:t>
      </w:r>
    </w:p>
    <w:p w14:paraId="0E139B91" w14:textId="2052BB0C" w:rsidR="003B3BA5" w:rsidRDefault="003B3BA5" w:rsidP="003B3BA5">
      <w:pPr>
        <w:pStyle w:val="ListParagraph"/>
        <w:numPr>
          <w:ilvl w:val="0"/>
          <w:numId w:val="3"/>
        </w:numPr>
        <w:spacing w:line="261" w:lineRule="auto"/>
        <w:rPr>
          <w:rFonts w:ascii="Open Sans" w:eastAsia="Open Sans" w:hAnsi="Open Sans" w:cs="Open Sans"/>
          <w:sz w:val="20"/>
          <w:szCs w:val="20"/>
          <w:highlight w:val="white"/>
          <w:lang w:val="en-US"/>
        </w:rPr>
      </w:pPr>
      <w:r w:rsidRPr="003B3BA5">
        <w:rPr>
          <w:rFonts w:ascii="Open Sans" w:eastAsia="Open Sans" w:hAnsi="Open Sans" w:cs="Open Sans"/>
          <w:sz w:val="20"/>
          <w:szCs w:val="20"/>
          <w:highlight w:val="white"/>
          <w:lang w:val="en-US"/>
        </w:rPr>
        <w:t>HIPAA</w:t>
      </w:r>
      <w:r w:rsidR="00645D9D">
        <w:rPr>
          <w:rFonts w:ascii="Open Sans" w:eastAsia="Open Sans" w:hAnsi="Open Sans" w:cs="Open Sans"/>
          <w:sz w:val="20"/>
          <w:szCs w:val="20"/>
          <w:highlight w:val="white"/>
          <w:lang w:val="en-US"/>
        </w:rPr>
        <w:t xml:space="preserve">, </w:t>
      </w:r>
      <w:r w:rsidRPr="003B3BA5">
        <w:rPr>
          <w:rFonts w:ascii="Open Sans" w:eastAsia="Open Sans" w:hAnsi="Open Sans" w:cs="Open Sans"/>
          <w:sz w:val="20"/>
          <w:szCs w:val="20"/>
          <w:highlight w:val="white"/>
          <w:lang w:val="en-US"/>
        </w:rPr>
        <w:t>HITECH</w:t>
      </w:r>
      <w:r w:rsidR="00645D9D">
        <w:rPr>
          <w:rFonts w:ascii="Open Sans" w:eastAsia="Open Sans" w:hAnsi="Open Sans" w:cs="Open Sans"/>
          <w:sz w:val="20"/>
          <w:szCs w:val="20"/>
          <w:highlight w:val="white"/>
          <w:lang w:val="en-US"/>
        </w:rPr>
        <w:t>, and HITRUST</w:t>
      </w:r>
      <w:r w:rsidRPr="003B3BA5">
        <w:rPr>
          <w:rFonts w:ascii="Open Sans" w:eastAsia="Open Sans" w:hAnsi="Open Sans" w:cs="Open Sans"/>
          <w:sz w:val="20"/>
          <w:szCs w:val="20"/>
          <w:highlight w:val="white"/>
          <w:lang w:val="en-US"/>
        </w:rPr>
        <w:t xml:space="preserve"> Services</w:t>
      </w:r>
    </w:p>
    <w:p w14:paraId="7EF3F3E4" w14:textId="77777777" w:rsidR="003B3BA5" w:rsidRDefault="003B3BA5" w:rsidP="003B3BA5">
      <w:pPr>
        <w:pStyle w:val="ListParagraph"/>
        <w:numPr>
          <w:ilvl w:val="0"/>
          <w:numId w:val="3"/>
        </w:numPr>
        <w:spacing w:line="261" w:lineRule="auto"/>
        <w:rPr>
          <w:rFonts w:ascii="Open Sans" w:eastAsia="Open Sans" w:hAnsi="Open Sans" w:cs="Open Sans"/>
          <w:sz w:val="20"/>
          <w:szCs w:val="20"/>
          <w:highlight w:val="white"/>
          <w:lang w:val="en-US"/>
        </w:rPr>
      </w:pPr>
      <w:r w:rsidRPr="003B3BA5">
        <w:rPr>
          <w:rFonts w:ascii="Open Sans" w:eastAsia="Open Sans" w:hAnsi="Open Sans" w:cs="Open Sans"/>
          <w:sz w:val="20"/>
          <w:szCs w:val="20"/>
          <w:highlight w:val="white"/>
          <w:lang w:val="en-US"/>
        </w:rPr>
        <w:t>Penetration Testing and Vulnerability Assessments</w:t>
      </w:r>
    </w:p>
    <w:p w14:paraId="21AEE970" w14:textId="697314DB" w:rsidR="003B3BA5" w:rsidRPr="003B3BA5" w:rsidRDefault="003B3BA5" w:rsidP="003B3BA5">
      <w:pPr>
        <w:pStyle w:val="ListParagraph"/>
        <w:numPr>
          <w:ilvl w:val="0"/>
          <w:numId w:val="3"/>
        </w:numPr>
        <w:spacing w:line="261" w:lineRule="auto"/>
        <w:rPr>
          <w:rFonts w:ascii="Open Sans" w:eastAsia="Open Sans" w:hAnsi="Open Sans" w:cs="Open Sans"/>
          <w:sz w:val="20"/>
          <w:szCs w:val="20"/>
          <w:highlight w:val="white"/>
          <w:lang w:val="en-US"/>
        </w:rPr>
      </w:pPr>
      <w:r w:rsidRPr="003B3BA5">
        <w:rPr>
          <w:rFonts w:ascii="Open Sans" w:eastAsia="Open Sans" w:hAnsi="Open Sans" w:cs="Open Sans"/>
          <w:sz w:val="20"/>
          <w:szCs w:val="20"/>
          <w:highlight w:val="white"/>
          <w:lang w:val="en-US"/>
        </w:rPr>
        <w:t>Virtual CISO services</w:t>
      </w:r>
    </w:p>
    <w:p w14:paraId="5A4D2994" w14:textId="01D724F2" w:rsidR="00F11245" w:rsidRDefault="00F11245">
      <w:pPr>
        <w:spacing w:line="261" w:lineRule="auto"/>
        <w:rPr>
          <w:rFonts w:ascii="Open Sans" w:eastAsia="Open Sans" w:hAnsi="Open Sans" w:cs="Open Sans"/>
          <w:sz w:val="20"/>
          <w:szCs w:val="20"/>
        </w:rPr>
      </w:pPr>
    </w:p>
    <w:p w14:paraId="35B10000" w14:textId="17A06057" w:rsidR="00AC577C" w:rsidRDefault="00AC577C">
      <w:pPr>
        <w:spacing w:line="261" w:lineRule="auto"/>
        <w:rPr>
          <w:rFonts w:ascii="Open Sans" w:eastAsia="Open Sans" w:hAnsi="Open Sans" w:cs="Open Sans"/>
          <w:sz w:val="20"/>
          <w:szCs w:val="20"/>
        </w:rPr>
      </w:pPr>
      <w:r>
        <w:rPr>
          <w:rFonts w:ascii="Open Sans" w:eastAsia="Open Sans" w:hAnsi="Open Sans" w:cs="Open Sans"/>
          <w:sz w:val="20"/>
          <w:szCs w:val="20"/>
        </w:rPr>
        <w:t>Learn more at barradvisory.com.</w:t>
      </w:r>
    </w:p>
    <w:p w14:paraId="5D40FBBD" w14:textId="1BB2AD12" w:rsidR="00F11245" w:rsidRDefault="00F11245">
      <w:pPr>
        <w:spacing w:line="261" w:lineRule="auto"/>
        <w:rPr>
          <w:rFonts w:ascii="Open Sans" w:eastAsia="Open Sans" w:hAnsi="Open Sans" w:cs="Open Sans"/>
          <w:sz w:val="20"/>
          <w:szCs w:val="20"/>
        </w:rPr>
      </w:pPr>
    </w:p>
    <w:p w14:paraId="21066DDC" w14:textId="57849FBB" w:rsidR="00F11245" w:rsidRDefault="003E41B5" w:rsidP="003E41B5">
      <w:pPr>
        <w:rPr>
          <w:rFonts w:ascii="Open Sans" w:eastAsia="Open Sans" w:hAnsi="Open Sans" w:cs="Open Sans"/>
          <w:b/>
          <w:sz w:val="20"/>
          <w:szCs w:val="20"/>
        </w:rPr>
      </w:pPr>
      <w:r>
        <w:rPr>
          <w:rFonts w:ascii="Open Sans" w:eastAsia="Open Sans" w:hAnsi="Open Sans" w:cs="Open Sans"/>
          <w:b/>
          <w:noProof/>
          <w:sz w:val="20"/>
          <w:szCs w:val="20"/>
        </w:rPr>
        <w:drawing>
          <wp:inline distT="0" distB="0" distL="0" distR="0" wp14:anchorId="15F0AACB" wp14:editId="08B7C143">
            <wp:extent cx="1967345" cy="570446"/>
            <wp:effectExtent l="0" t="0" r="1270" b="127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R_PRIMARY_PM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2186" cy="600846"/>
                    </a:xfrm>
                    <a:prstGeom prst="rect">
                      <a:avLst/>
                    </a:prstGeom>
                  </pic:spPr>
                </pic:pic>
              </a:graphicData>
            </a:graphic>
          </wp:inline>
        </w:drawing>
      </w:r>
    </w:p>
    <w:sectPr w:rsidR="00F112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E5B91"/>
    <w:multiLevelType w:val="multilevel"/>
    <w:tmpl w:val="2954C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F809AA"/>
    <w:multiLevelType w:val="multilevel"/>
    <w:tmpl w:val="C56C4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C54FE9"/>
    <w:multiLevelType w:val="hybridMultilevel"/>
    <w:tmpl w:val="DAA806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245"/>
    <w:rsid w:val="00000BCA"/>
    <w:rsid w:val="003B3BA5"/>
    <w:rsid w:val="003E41B5"/>
    <w:rsid w:val="00645D9D"/>
    <w:rsid w:val="00AC577C"/>
    <w:rsid w:val="00D209DE"/>
    <w:rsid w:val="00DD547C"/>
    <w:rsid w:val="00F1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39F9A"/>
  <w15:docId w15:val="{9132DA3C-0085-2945-A80F-EB7FCF60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B3BA5"/>
    <w:pPr>
      <w:ind w:left="720"/>
      <w:contextualSpacing/>
    </w:pPr>
  </w:style>
  <w:style w:type="character" w:styleId="Hyperlink">
    <w:name w:val="Hyperlink"/>
    <w:basedOn w:val="DefaultParagraphFont"/>
    <w:uiPriority w:val="99"/>
    <w:unhideWhenUsed/>
    <w:rsid w:val="00AC577C"/>
    <w:rPr>
      <w:color w:val="0000FF" w:themeColor="hyperlink"/>
      <w:u w:val="single"/>
    </w:rPr>
  </w:style>
  <w:style w:type="character" w:styleId="UnresolvedMention">
    <w:name w:val="Unresolved Mention"/>
    <w:basedOn w:val="DefaultParagraphFont"/>
    <w:uiPriority w:val="99"/>
    <w:semiHidden/>
    <w:unhideWhenUsed/>
    <w:rsid w:val="00AC5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191967">
      <w:bodyDiv w:val="1"/>
      <w:marLeft w:val="0"/>
      <w:marRight w:val="0"/>
      <w:marTop w:val="0"/>
      <w:marBottom w:val="0"/>
      <w:divBdr>
        <w:top w:val="none" w:sz="0" w:space="0" w:color="auto"/>
        <w:left w:val="none" w:sz="0" w:space="0" w:color="auto"/>
        <w:bottom w:val="none" w:sz="0" w:space="0" w:color="auto"/>
        <w:right w:val="none" w:sz="0" w:space="0" w:color="auto"/>
      </w:divBdr>
    </w:div>
    <w:div w:id="1341587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arradviso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Smith</cp:lastModifiedBy>
  <cp:revision>6</cp:revision>
  <dcterms:created xsi:type="dcterms:W3CDTF">2020-04-24T19:20:00Z</dcterms:created>
  <dcterms:modified xsi:type="dcterms:W3CDTF">2020-11-03T18:21:00Z</dcterms:modified>
</cp:coreProperties>
</file>